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Arial" w:hAnsi="Arial" w:cs="Arial"/>
          <w:sz w:val="32"/>
          <w:szCs w:val="32"/>
          <w:lang w:val="en-US"/>
        </w:rPr>
      </w:pPr>
      <w:r>
        <w:rPr>
          <w:rFonts w:ascii="Arial" w:hAnsi="Arial" w:cs="Arial"/>
          <w:sz w:val="32"/>
          <w:szCs w:val="32"/>
          <w:lang w:val="en-US"/>
        </w:rPr>
        <w:t xml:space="preserve">Assured Periodic Tenancy Agreement</w:t>
      </w:r>
    </w:p>
    <w:p>
      <w:pPr>
        <w:jc w:val="center"/>
        <w:rPr>
          <w:rFonts w:ascii="Arial" w:hAnsi="Arial" w:cs="Arial"/>
          <w:sz w:val="18"/>
          <w:szCs w:val="18"/>
          <w:lang w:val="en-US"/>
        </w:rPr>
      </w:pPr>
      <w:r>
        <w:rPr>
          <w:rFonts w:ascii="Arial" w:hAnsi="Arial" w:cs="Arial"/>
          <w:i/>
          <w:sz w:val="18"/>
          <w:szCs w:val="18"/>
          <w:lang w:val="en-US"/>
        </w:rPr>
        <w:t xml:space="preserve">Compliant with the Renters’ Rights Act 2025 – England</w:t>
      </w:r>
    </w:p>
    <w:p>
      <w:pPr>
        <w:rPr>
          <w:rFonts w:ascii="Arial" w:hAnsi="Arial" w:cs="Arial"/>
          <w:sz w:val="16"/>
          <w:szCs w:val="16"/>
          <w:lang w:val="en-US"/>
        </w:rPr>
      </w:pPr>
    </w:p>
    <w:p>
      <w:pPr>
        <w:rPr>
          <w:rFonts w:ascii="Arial" w:hAnsi="Arial" w:cs="Arial"/>
          <w:sz w:val="16"/>
          <w:szCs w:val="16"/>
          <w:lang w:val="en-US"/>
        </w:rPr>
      </w:pPr>
    </w:p>
    <w:p>
      <w:pPr>
        <w:rPr>
          <w:rFonts w:ascii="Arial" w:hAnsi="Arial" w:cs="Arial"/>
          <w:sz w:val="16"/>
          <w:szCs w:val="16"/>
          <w:lang w:val="en-US"/>
        </w:rPr>
      </w:pPr>
      <w:r>
        <w:rPr>
          <w:rFonts w:ascii="Arial" w:hAnsi="Arial" w:cs="Arial"/>
          <w:b/>
          <w:sz w:val="16"/>
          <w:szCs w:val="16"/>
          <w:lang w:val="en-US"/>
        </w:rPr>
        <w:t xml:space="preserve">AGREEMENT</w:t>
      </w:r>
      <w:r>
        <w:rPr>
          <w:rFonts w:ascii="Arial" w:hAnsi="Arial" w:cs="Arial"/>
          <w:sz w:val="16"/>
          <w:szCs w:val="16"/>
          <w:lang w:val="en-US"/>
        </w:rPr>
        <w:t xml:space="preserve"> dated the &lt;&lt;   &gt;&gt; day of &lt;&lt;   &gt;&gt; 20 &lt;&lt;   &gt;&gt;</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LANDLORD</w:t>
      </w:r>
    </w:p>
    <w:p>
      <w:pPr>
        <w:tabs>
          <w:tab w:val="left" w:pos="1418"/>
        </w:tabs>
        <w:rPr>
          <w:rFonts w:ascii="Arial" w:hAnsi="Arial" w:cs="Arial"/>
          <w:sz w:val="16"/>
          <w:szCs w:val="16"/>
          <w:lang w:val="en-US"/>
        </w:rPr>
      </w:pPr>
      <w:r>
        <w:rPr>
          <w:rFonts w:ascii="Arial" w:hAnsi="Arial" w:cs="Arial"/>
          <w:sz w:val="16"/>
          <w:szCs w:val="16"/>
          <w:lang w:val="en-US"/>
        </w:rPr>
        <w:t xml:space="preserve">Name / Company:</w:t>
      </w:r>
      <w:r>
        <w:rPr>
          <w:rFonts w:ascii="Arial" w:hAnsi="Arial" w:cs="Arial"/>
          <w:sz w:val="16"/>
          <w:szCs w:val="16"/>
          <w:lang w:val="en-US"/>
        </w:rPr>
        <w:tab/>
      </w:r>
      <w:r>
        <w:rPr>
          <w:rFonts w:ascii="Arial" w:hAnsi="Arial" w:cs="Arial"/>
          <w:sz w:val="16"/>
          <w:szCs w:val="16"/>
          <w:lang w:val="en-US"/>
        </w:rPr>
        <w:t xml:space="preserve">&lt;&lt;Landlord’s name&gt;&gt;</w:t>
      </w:r>
    </w:p>
    <w:p>
      <w:pPr>
        <w:tabs>
          <w:tab w:val="left" w:pos="1418"/>
        </w:tabs>
        <w:rPr>
          <w:rFonts w:ascii="Arial" w:hAnsi="Arial" w:cs="Arial"/>
          <w:sz w:val="16"/>
          <w:szCs w:val="16"/>
          <w:lang w:val="en-US"/>
        </w:rPr>
      </w:pPr>
      <w:r>
        <w:rPr>
          <w:rFonts w:ascii="Arial" w:hAnsi="Arial" w:cs="Arial"/>
          <w:sz w:val="16"/>
          <w:szCs w:val="16"/>
          <w:lang w:val="en-US"/>
        </w:rPr>
        <w:t xml:space="preserve">Address:</w:t>
      </w:r>
      <w:r>
        <w:rPr>
          <w:rFonts w:ascii="Arial" w:hAnsi="Arial" w:cs="Arial"/>
          <w:sz w:val="16"/>
          <w:szCs w:val="16"/>
          <w:lang w:val="en-US"/>
        </w:rPr>
        <w:tab/>
      </w:r>
      <w:r>
        <w:rPr>
          <w:rFonts w:ascii="Arial" w:hAnsi="Arial" w:cs="Arial"/>
          <w:sz w:val="16"/>
          <w:szCs w:val="16"/>
          <w:lang w:val="en-US"/>
        </w:rPr>
        <w:t xml:space="preserve">&lt;&lt;Landlord’s address&gt;&gt;</w:t>
      </w:r>
    </w:p>
    <w:p>
      <w:pPr>
        <w:tabs>
          <w:tab w:val="left" w:pos="1418"/>
        </w:tabs>
        <w:rPr>
          <w:rFonts w:ascii="Arial" w:hAnsi="Arial" w:cs="Arial"/>
          <w:sz w:val="16"/>
          <w:szCs w:val="16"/>
          <w:lang w:val="en-US"/>
        </w:rPr>
      </w:pPr>
      <w:r>
        <w:rPr>
          <w:rFonts w:ascii="Arial" w:hAnsi="Arial" w:cs="Arial"/>
          <w:sz w:val="16"/>
          <w:szCs w:val="16"/>
          <w:lang w:val="en-US"/>
        </w:rPr>
        <w:t xml:space="preserve">Email:</w:t>
      </w:r>
      <w:r>
        <w:rPr>
          <w:rFonts w:ascii="Arial" w:hAnsi="Arial" w:cs="Arial"/>
          <w:sz w:val="16"/>
          <w:szCs w:val="16"/>
          <w:lang w:val="en-US"/>
        </w:rPr>
        <w:tab/>
      </w:r>
      <w:r>
        <w:rPr>
          <w:rFonts w:ascii="Arial" w:hAnsi="Arial" w:cs="Arial"/>
          <w:sz w:val="16"/>
          <w:szCs w:val="16"/>
          <w:lang w:val="en-US"/>
        </w:rPr>
        <w:t xml:space="preserve">&lt;&lt;   &gt;&gt;</w:t>
      </w:r>
    </w:p>
    <w:p>
      <w:pPr>
        <w:tabs>
          <w:tab w:val="left" w:pos="1418"/>
        </w:tabs>
        <w:rPr>
          <w:rFonts w:ascii="Arial" w:hAnsi="Arial" w:cs="Arial"/>
          <w:sz w:val="16"/>
          <w:szCs w:val="16"/>
          <w:lang w:val="en-US"/>
        </w:rPr>
      </w:pPr>
      <w:r>
        <w:rPr>
          <w:rFonts w:ascii="Arial" w:hAnsi="Arial" w:cs="Arial"/>
          <w:sz w:val="16"/>
          <w:szCs w:val="16"/>
          <w:lang w:val="en-US"/>
        </w:rPr>
        <w:t xml:space="preserve">Telephone:</w:t>
      </w:r>
      <w:r>
        <w:rPr>
          <w:rFonts w:ascii="Arial" w:hAnsi="Arial" w:cs="Arial"/>
          <w:sz w:val="16"/>
          <w:szCs w:val="16"/>
          <w:lang w:val="en-US"/>
        </w:rPr>
        <w:tab/>
      </w:r>
      <w:r>
        <w:rPr>
          <w:rFonts w:ascii="Arial" w:hAnsi="Arial" w:cs="Arial"/>
          <w:sz w:val="16"/>
          <w:szCs w:val="16"/>
          <w:lang w:val="en-US"/>
        </w:rPr>
        <w:t xml:space="preserve">&lt;&lt;   &gt;&gt;</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TENANT(S)</w:t>
      </w:r>
    </w:p>
    <w:p>
      <w:pPr>
        <w:tabs>
          <w:tab w:val="left" w:pos="1418"/>
        </w:tabs>
        <w:rPr>
          <w:rFonts w:ascii="Arial" w:hAnsi="Arial" w:cs="Arial"/>
          <w:sz w:val="16"/>
          <w:szCs w:val="16"/>
          <w:lang w:val="en-US"/>
        </w:rPr>
      </w:pPr>
      <w:r>
        <w:rPr>
          <w:rFonts w:ascii="Arial" w:hAnsi="Arial" w:cs="Arial"/>
          <w:sz w:val="16"/>
          <w:szCs w:val="16"/>
          <w:lang w:val="en-US"/>
        </w:rPr>
        <w:t xml:space="preserve">Name:</w:t>
      </w:r>
      <w:r>
        <w:rPr>
          <w:rFonts w:ascii="Arial" w:hAnsi="Arial" w:cs="Arial"/>
          <w:sz w:val="16"/>
          <w:szCs w:val="16"/>
          <w:lang w:val="en-US"/>
        </w:rPr>
        <w:tab/>
      </w:r>
      <w:r>
        <w:rPr>
          <w:rFonts w:ascii="Arial" w:hAnsi="Arial" w:cs="Arial"/>
          <w:sz w:val="16"/>
          <w:szCs w:val="16"/>
          <w:lang w:val="en-US"/>
        </w:rPr>
        <w:t xml:space="preserve">&lt;&lt;Tenant’s name&gt;&gt;</w:t>
      </w:r>
    </w:p>
    <w:p>
      <w:pPr>
        <w:tabs>
          <w:tab w:val="left" w:pos="1418"/>
        </w:tabs>
        <w:rPr>
          <w:rFonts w:ascii="Arial" w:hAnsi="Arial" w:cs="Arial"/>
          <w:sz w:val="16"/>
          <w:szCs w:val="16"/>
          <w:lang w:val="en-US"/>
        </w:rPr>
      </w:pPr>
      <w:r>
        <w:rPr>
          <w:rFonts w:ascii="Arial" w:hAnsi="Arial" w:cs="Arial"/>
          <w:sz w:val="16"/>
          <w:szCs w:val="16"/>
          <w:lang w:val="en-US"/>
        </w:rPr>
        <w:t xml:space="preserve">Address:</w:t>
      </w:r>
      <w:r>
        <w:rPr>
          <w:rFonts w:ascii="Arial" w:hAnsi="Arial" w:cs="Arial"/>
          <w:sz w:val="16"/>
          <w:szCs w:val="16"/>
          <w:lang w:val="en-US"/>
        </w:rPr>
        <w:tab/>
      </w:r>
      <w:r>
        <w:rPr>
          <w:rFonts w:ascii="Arial" w:hAnsi="Arial" w:cs="Arial"/>
          <w:sz w:val="16"/>
          <w:szCs w:val="16"/>
          <w:lang w:val="en-US"/>
        </w:rPr>
        <w:t xml:space="preserve">&lt;&lt;Tenant’s address&gt;&gt;</w:t>
      </w:r>
    </w:p>
    <w:p>
      <w:pPr>
        <w:tabs>
          <w:tab w:val="left" w:pos="1418"/>
        </w:tabs>
        <w:rPr>
          <w:rFonts w:ascii="Arial" w:hAnsi="Arial" w:cs="Arial"/>
          <w:sz w:val="16"/>
          <w:szCs w:val="16"/>
          <w:lang w:val="en-US"/>
        </w:rPr>
      </w:pPr>
      <w:r>
        <w:rPr>
          <w:rFonts w:ascii="Arial" w:hAnsi="Arial" w:cs="Arial"/>
          <w:sz w:val="16"/>
          <w:szCs w:val="16"/>
          <w:lang w:val="en-US"/>
        </w:rPr>
        <w:t xml:space="preserve">Name:</w:t>
      </w:r>
      <w:r>
        <w:rPr>
          <w:rFonts w:ascii="Arial" w:hAnsi="Arial" w:cs="Arial"/>
          <w:sz w:val="16"/>
          <w:szCs w:val="16"/>
          <w:lang w:val="en-US"/>
        </w:rPr>
        <w:tab/>
      </w:r>
      <w:r>
        <w:rPr>
          <w:rFonts w:ascii="Arial" w:hAnsi="Arial" w:cs="Arial"/>
          <w:sz w:val="16"/>
          <w:szCs w:val="16"/>
          <w:lang w:val="en-US"/>
        </w:rPr>
        <w:t xml:space="preserve">&lt;&lt;Tenant’s name&gt;&gt;</w:t>
      </w:r>
    </w:p>
    <w:p>
      <w:pPr>
        <w:tabs>
          <w:tab w:val="left" w:pos="1418"/>
        </w:tabs>
        <w:rPr>
          <w:rFonts w:ascii="Arial" w:hAnsi="Arial" w:cs="Arial"/>
          <w:sz w:val="16"/>
          <w:szCs w:val="16"/>
          <w:lang w:val="en-US"/>
        </w:rPr>
      </w:pPr>
      <w:r>
        <w:rPr>
          <w:rFonts w:ascii="Arial" w:hAnsi="Arial" w:cs="Arial"/>
          <w:sz w:val="16"/>
          <w:szCs w:val="16"/>
          <w:lang w:val="en-US"/>
        </w:rPr>
        <w:t xml:space="preserve">Address:</w:t>
      </w:r>
      <w:r>
        <w:rPr>
          <w:rFonts w:ascii="Arial" w:hAnsi="Arial" w:cs="Arial"/>
          <w:sz w:val="16"/>
          <w:szCs w:val="16"/>
          <w:lang w:val="en-US"/>
        </w:rPr>
        <w:tab/>
      </w:r>
      <w:r>
        <w:rPr>
          <w:rFonts w:ascii="Arial" w:hAnsi="Arial" w:cs="Arial"/>
          <w:sz w:val="16"/>
          <w:szCs w:val="16"/>
          <w:lang w:val="en-US"/>
        </w:rPr>
        <w:t xml:space="preserve">&lt;&lt;Tenant’s address&gt;&gt;</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PROPERTY</w:t>
      </w:r>
    </w:p>
    <w:p>
      <w:pPr>
        <w:tabs>
          <w:tab w:val="left" w:pos="1418"/>
        </w:tabs>
        <w:rPr>
          <w:rFonts w:ascii="Arial" w:hAnsi="Arial" w:cs="Arial"/>
          <w:sz w:val="16"/>
          <w:szCs w:val="16"/>
          <w:lang w:val="en-US"/>
        </w:rPr>
      </w:pPr>
      <w:r>
        <w:rPr>
          <w:rFonts w:ascii="Arial" w:hAnsi="Arial" w:cs="Arial"/>
          <w:sz w:val="16"/>
          <w:szCs w:val="16"/>
          <w:lang w:val="en-US"/>
        </w:rPr>
        <w:t xml:space="preserve">Property type:</w:t>
      </w:r>
      <w:r>
        <w:rPr>
          <w:rFonts w:ascii="Arial" w:hAnsi="Arial" w:cs="Arial"/>
          <w:sz w:val="16"/>
          <w:szCs w:val="16"/>
          <w:lang w:val="en-US"/>
        </w:rPr>
        <w:tab/>
      </w:r>
      <w:r>
        <w:rPr>
          <w:rFonts w:ascii="Arial" w:hAnsi="Arial" w:cs="Arial"/>
          <w:sz w:val="16"/>
          <w:szCs w:val="16"/>
          <w:lang w:val="en-US"/>
        </w:rPr>
        <w:t xml:space="preserve">&lt;&lt;   &gt;&gt;</w:t>
      </w:r>
    </w:p>
    <w:p>
      <w:pPr>
        <w:tabs>
          <w:tab w:val="left" w:pos="1418"/>
        </w:tabs>
        <w:rPr>
          <w:rFonts w:ascii="Arial" w:hAnsi="Arial" w:cs="Arial"/>
          <w:sz w:val="16"/>
          <w:szCs w:val="16"/>
          <w:lang w:val="en-US"/>
        </w:rPr>
      </w:pPr>
      <w:r>
        <w:rPr>
          <w:rFonts w:ascii="Arial" w:hAnsi="Arial" w:cs="Arial"/>
          <w:sz w:val="16"/>
          <w:szCs w:val="16"/>
          <w:lang w:val="en-US"/>
        </w:rPr>
        <w:t xml:space="preserve">Address:</w:t>
      </w:r>
      <w:r>
        <w:rPr>
          <w:rFonts w:ascii="Arial" w:hAnsi="Arial" w:cs="Arial"/>
          <w:sz w:val="16"/>
          <w:szCs w:val="16"/>
          <w:lang w:val="en-US"/>
        </w:rPr>
        <w:tab/>
      </w:r>
      <w:r>
        <w:rPr>
          <w:rFonts w:ascii="Arial" w:hAnsi="Arial" w:cs="Arial"/>
          <w:sz w:val="16"/>
          <w:szCs w:val="16"/>
          <w:lang w:val="en-US"/>
        </w:rPr>
        <w:t xml:space="preserve">&lt;&lt;Address&gt;&gt;</w:t>
      </w:r>
    </w:p>
    <w:p>
      <w:pPr>
        <w:tabs>
          <w:tab w:val="left" w:pos="1418"/>
        </w:tabs>
        <w:rPr>
          <w:rFonts w:ascii="Arial" w:hAnsi="Arial" w:cs="Arial"/>
          <w:sz w:val="16"/>
          <w:szCs w:val="16"/>
          <w:lang w:val="en-US"/>
        </w:rPr>
      </w:pPr>
      <w:r>
        <w:rPr>
          <w:rFonts w:ascii="Arial" w:hAnsi="Arial" w:cs="Arial"/>
          <w:sz w:val="16"/>
          <w:szCs w:val="16"/>
          <w:lang w:val="en-US"/>
        </w:rPr>
        <w:tab/>
      </w:r>
      <w:r>
        <w:rPr>
          <w:rFonts w:ascii="Arial" w:hAnsi="Arial" w:cs="Arial"/>
          <w:sz w:val="16"/>
          <w:szCs w:val="16"/>
          <w:lang w:val="en-US"/>
        </w:rPr>
        <w:t xml:space="preserve">&lt;&lt;Address&gt;&gt;</w:t>
      </w:r>
    </w:p>
    <w:p>
      <w:pPr>
        <w:tabs>
          <w:tab w:val="left" w:pos="1418"/>
        </w:tabs>
        <w:rPr>
          <w:rFonts w:ascii="Arial" w:hAnsi="Arial" w:cs="Arial"/>
          <w:sz w:val="16"/>
          <w:szCs w:val="16"/>
          <w:lang w:val="en-US"/>
        </w:rPr>
      </w:pPr>
      <w:r>
        <w:rPr>
          <w:rFonts w:ascii="Arial" w:hAnsi="Arial" w:cs="Arial"/>
          <w:sz w:val="16"/>
          <w:szCs w:val="16"/>
          <w:lang w:val="en-US"/>
        </w:rPr>
        <w:tab/>
      </w:r>
      <w:r>
        <w:rPr>
          <w:rFonts w:ascii="Arial" w:hAnsi="Arial" w:cs="Arial"/>
          <w:sz w:val="16"/>
          <w:szCs w:val="16"/>
          <w:lang w:val="en-US"/>
        </w:rPr>
        <w:t xml:space="preserve">&lt;&lt;Address&gt;&gt;</w:t>
      </w:r>
    </w:p>
    <w:p>
      <w:pPr>
        <w:rPr>
          <w:rFonts w:ascii="Arial" w:hAnsi="Arial" w:cs="Arial"/>
          <w:sz w:val="16"/>
          <w:szCs w:val="16"/>
          <w:lang w:val="en-US"/>
        </w:rPr>
      </w:pPr>
    </w:p>
    <w:p>
      <w:pPr>
        <w:ind w:left="1134"/>
        <w:rPr>
          <w:rFonts w:ascii="Arial" w:hAnsi="Arial" w:cs="Arial"/>
          <w:sz w:val="16"/>
          <w:szCs w:val="16"/>
          <w:lang w:val="en-US"/>
        </w:rPr>
      </w:pPr>
      <w:r>
        <w:rPr>
          <w:rFonts w:ascii="Arial" w:hAnsi="Arial" w:cs="Arial"/>
          <w:sz w:val="16"/>
          <w:szCs w:val="16"/>
          <w:lang w:val="en-US"/>
        </w:rPr>
        <w:t xml:space="preserve">together with the fixtures furniture and effects specified in the inventory signed by the parties (“</w:t>
      </w:r>
      <w:r>
        <w:rPr>
          <w:rFonts w:ascii="Arial" w:hAnsi="Arial" w:cs="Arial"/>
          <w:b/>
          <w:sz w:val="16"/>
          <w:szCs w:val="16"/>
          <w:lang w:val="en-US"/>
        </w:rPr>
        <w:t xml:space="preserve">Inventory</w:t>
      </w:r>
      <w:r>
        <w:rPr>
          <w:rFonts w:ascii="Arial" w:hAnsi="Arial" w:cs="Arial"/>
          <w:sz w:val="16"/>
          <w:szCs w:val="16"/>
          <w:lang w:val="en-US"/>
        </w:rPr>
        <w:t xml:space="preserve">”)</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TERM</w:t>
      </w:r>
    </w:p>
    <w:p>
      <w:pPr>
        <w:rPr>
          <w:rFonts w:ascii="Arial" w:hAnsi="Arial" w:cs="Arial"/>
          <w:sz w:val="16"/>
          <w:szCs w:val="16"/>
          <w:lang w:val="en-US"/>
        </w:rPr>
      </w:pPr>
      <w:r>
        <w:rPr>
          <w:rFonts w:ascii="Arial" w:hAnsi="Arial" w:cs="Arial"/>
          <w:sz w:val="16"/>
          <w:szCs w:val="16"/>
          <w:lang w:val="en-US"/>
        </w:rPr>
        <w:t xml:space="preserve">This tenancy commences on the &lt;&lt;   &gt;&gt; day of &lt;&lt;   &gt;&gt; 20 &lt;&lt;   &gt;&gt; and continues on a monthly rolling basis (“</w:t>
      </w:r>
      <w:r>
        <w:rPr>
          <w:rFonts w:ascii="Arial" w:hAnsi="Arial" w:cs="Arial"/>
          <w:b/>
          <w:sz w:val="16"/>
          <w:szCs w:val="16"/>
          <w:lang w:val="en-US"/>
        </w:rPr>
        <w:t xml:space="preserve">periodic tenancy</w:t>
      </w:r>
      <w:r>
        <w:rPr>
          <w:rFonts w:ascii="Arial" w:hAnsi="Arial" w:cs="Arial"/>
          <w:sz w:val="16"/>
          <w:szCs w:val="16"/>
          <w:lang w:val="en-US"/>
        </w:rPr>
        <w:t xml:space="preserve">”) until ended by either party in accordance with the notice provisions of this Agreement. </w:t>
      </w:r>
      <w:r>
        <w:rPr>
          <w:rFonts w:ascii="Arial" w:hAnsi="Arial" w:cs="Arial"/>
          <w:b/>
          <w:sz w:val="16"/>
          <w:szCs w:val="16"/>
          <w:lang w:val="en-US"/>
        </w:rPr>
        <w:t xml:space="preserve">There is no fixed term.</w:t>
      </w:r>
      <w:r>
        <w:rPr>
          <w:rFonts w:ascii="Arial" w:hAnsi="Arial" w:cs="Arial"/>
          <w:sz w:val="16"/>
          <w:szCs w:val="16"/>
          <w:lang w:val="en-US"/>
        </w:rPr>
        <w:t xml:space="preserve"> Section 21 of the Housing Act 1988 does not apply to this tenancy.</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RENT</w:t>
      </w:r>
    </w:p>
    <w:p>
      <w:pPr>
        <w:rPr>
          <w:rFonts w:ascii="Arial" w:hAnsi="Arial" w:cs="Arial"/>
          <w:sz w:val="16"/>
          <w:szCs w:val="16"/>
          <w:lang w:val="en-US"/>
        </w:rPr>
      </w:pPr>
      <w:r>
        <w:rPr>
          <w:rFonts w:ascii="Arial" w:hAnsi="Arial" w:cs="Arial"/>
          <w:sz w:val="16"/>
          <w:szCs w:val="16"/>
          <w:lang w:val="en-US"/>
        </w:rPr>
        <w:t xml:space="preserve">£&lt;&lt;   &gt;&gt; per calendar month, payable in advance on the &lt;&lt;   &gt;&gt; day of each month (“</w:t>
      </w:r>
      <w:r>
        <w:rPr>
          <w:rFonts w:ascii="Arial" w:hAnsi="Arial" w:cs="Arial"/>
          <w:b/>
          <w:sz w:val="16"/>
          <w:szCs w:val="16"/>
          <w:lang w:val="en-US"/>
        </w:rPr>
        <w:t xml:space="preserve">Due Date</w:t>
      </w:r>
      <w:r>
        <w:rPr>
          <w:rFonts w:ascii="Arial" w:hAnsi="Arial" w:cs="Arial"/>
          <w:sz w:val="16"/>
          <w:szCs w:val="16"/>
          <w:lang w:val="en-US"/>
        </w:rPr>
        <w:t xml:space="preserve">”) during the term of the tenancy.</w:t>
      </w:r>
    </w:p>
    <w:p>
      <w:pPr>
        <w:rPr>
          <w:rFonts w:ascii="Arial" w:hAnsi="Arial" w:cs="Arial"/>
          <w:sz w:val="16"/>
          <w:szCs w:val="16"/>
          <w:lang w:val="en-US"/>
        </w:rPr>
      </w:pPr>
    </w:p>
    <w:p>
      <w:pPr>
        <w:rPr>
          <w:rFonts w:ascii="Arial" w:hAnsi="Arial" w:cs="Arial"/>
          <w:sz w:val="16"/>
          <w:szCs w:val="16"/>
          <w:lang w:val="en-US"/>
        </w:rPr>
      </w:pPr>
    </w:p>
    <w:p>
      <w:pPr>
        <w:pStyle w:val="Heading1"/>
        <w:rPr>
          <w:lang w:val="en-US"/>
        </w:rPr>
      </w:pPr>
      <w:r>
        <w:rPr>
          <w:lang w:val="en-US"/>
        </w:rPr>
        <w:t xml:space="preserve">KEY INFORMATION SCHEDULE</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The following information is provided in accordance with the Renters’ Rights Act 2025. This schedule forms part of this Agreement and must be read alongside it.</w:t>
      </w:r>
    </w:p>
    <w:p>
      <w:pPr>
        <w:rPr>
          <w:rFonts w:ascii="Arial" w:hAnsi="Arial" w:cs="Arial"/>
          <w:sz w:val="16"/>
          <w:szCs w:val="16"/>
          <w:lang w:val="en-US"/>
        </w:rPr>
      </w:pPr>
    </w:p>
    <w:tbl>
      <w:tblPr>
        <w:tblW w:w="93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40" w:type="dxa"/>
          <w:left w:w="85" w:type="dxa"/>
          <w:bottom w:w="40" w:type="dxa"/>
          <w:right w:w="85" w:type="dxa"/>
        </w:tblCellMar>
        <w:tblLook w:val="04A0"/>
      </w:tblPr>
      <w:tblGrid>
        <w:gridCol w:w="2900"/>
        <w:gridCol w:w="6456"/>
      </w:tblGrid>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Tenancy Type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Assured Periodic Tenancy (monthly rolling) – no fixed term</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Commencement Date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Landlord Name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Landlord Address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Landlord Email</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Landlord Phone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Tenant(s)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Property Address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Property Type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Monthly Rent (incl. charges)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Rent Excluding Charges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Service Charges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Rent Due Date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 day of each calendar month</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Payment Method</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Rent in Advance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One (1) month’s rent only, payable before commencement. No more than one month’s rent in advance may be requested or accepted.</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Deposit Amount</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 (not exceeding five weeks’ rent)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Deposit Scheme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Rent Increase Frequency</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No more than once per 12-month period</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Rent Increase Notice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Minimum 2 months’ written notice via Section 13 Housing Act 1988</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Tenant Notice to End</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Minimum 2 months’ written notice to Landlord, expiring on the last day of a period of the tenancy</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Landlord Grounds to End</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Section 8 of the Housing Act 1988 (as amended) only – no Section 21</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Heating Type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Central / Individual  (delete as applicable)</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Hot Water Type</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Central / Individual  (delete as applicable)</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Energy Performance (EPC)</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Rating: &lt;&lt;   &gt;&gt; – Score: &lt;&lt;   &gt;&gt; – Date: &lt;&lt;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PRS Database Registration (Phase 2, from late 2026)</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PRS Ombudsman Scheme (Phase 2, from late 2026)</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r>
        <w:trPr>
          <w:cantSplit/>
        </w:trPr>
        <w:tc>
          <w:tcPr>
            <w:tcW w:w="2900" w:type="dxa"/>
            <w:tcBorders>
              <w:top w:val="single" w:sz="4" w:space="0" w:color="808080"/>
              <w:left w:val="single" w:sz="4" w:space="0" w:color="808080"/>
              <w:bottom w:val="single" w:sz="4" w:space="0" w:color="808080"/>
              <w:right w:val="single" w:sz="4" w:space="0" w:color="808080"/>
            </w:tcBorders>
            <w:shd w:val="clear" w:color="auto" w:fill="F2F2F2"/>
            <w:vAlign w:val="center"/>
          </w:tcPr>
          <w:p>
            <w:pPr>
              <w:rPr>
                <w:rFonts w:ascii="Arial" w:hAnsi="Arial" w:cs="Arial"/>
                <w:sz w:val="16"/>
                <w:szCs w:val="16"/>
                <w:lang w:val="en-US"/>
              </w:rPr>
            </w:pPr>
            <w:r>
              <w:rPr>
                <w:rFonts w:ascii="Arial" w:hAnsi="Arial" w:cs="Arial"/>
                <w:b/>
                <w:sz w:val="16"/>
                <w:szCs w:val="16"/>
                <w:lang w:val="en-US"/>
              </w:rPr>
              <w:t xml:space="preserve">Special Conditions</w:t>
            </w:r>
          </w:p>
        </w:tc>
        <w:tc>
          <w:tcPr>
            <w:tcW w:w="6456" w:type="dxa"/>
            <w:tcBorders>
              <w:top w:val="single" w:sz="4" w:space="0" w:color="808080"/>
              <w:left w:val="single" w:sz="4" w:space="0" w:color="808080"/>
              <w:bottom w:val="single" w:sz="4" w:space="0" w:color="808080"/>
              <w:right w:val="single" w:sz="4" w:space="0" w:color="808080"/>
            </w:tcBorders>
            <w:vAlign w:val="center"/>
          </w:tcPr>
          <w:p>
            <w:pPr>
              <w:rPr>
                <w:rFonts w:ascii="Arial" w:hAnsi="Arial" w:cs="Arial"/>
                <w:sz w:val="16"/>
                <w:szCs w:val="16"/>
                <w:lang w:val="en-US"/>
              </w:rPr>
            </w:pPr>
            <w:r>
              <w:rPr>
                <w:rFonts w:ascii="Arial" w:hAnsi="Arial" w:cs="Arial"/>
                <w:sz w:val="16"/>
                <w:szCs w:val="16"/>
                <w:lang w:val="en-US"/>
              </w:rPr>
              <w:t xml:space="preserve">&lt;&lt;   &gt;&gt;</w:t>
            </w:r>
          </w:p>
        </w:tc>
      </w:tr>
    </w:tbl>
    <w:p>
      <w:pPr>
        <w:rPr>
          <w:rFonts w:ascii="Arial" w:hAnsi="Arial" w:cs="Arial"/>
          <w:sz w:val="16"/>
          <w:szCs w:val="16"/>
          <w:lang w:val="en-US"/>
        </w:rPr>
      </w:pPr>
    </w:p>
    <w:p>
      <w:pPr>
        <w:pStyle w:val="Heading1"/>
        <w:rPr>
          <w:lang w:val="en-US"/>
        </w:rPr>
      </w:pPr>
      <w:r>
        <w:rPr>
          <w:lang w:val="en-US"/>
        </w:rPr>
        <w:t xml:space="preserve">1. LETTING</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1.1 The Landlord lets and the Tenant takes the Property for the Term at the Rent.</w:t>
      </w:r>
    </w:p>
    <w:p>
      <w:pPr>
        <w:rPr>
          <w:rFonts w:ascii="Arial" w:hAnsi="Arial" w:cs="Arial"/>
          <w:sz w:val="16"/>
          <w:szCs w:val="16"/>
          <w:lang w:val="en-US"/>
        </w:rPr>
      </w:pPr>
      <w:r>
        <w:rPr>
          <w:rFonts w:ascii="Arial" w:hAnsi="Arial" w:cs="Arial"/>
          <w:sz w:val="16"/>
          <w:szCs w:val="16"/>
          <w:lang w:val="en-US"/>
        </w:rPr>
        <w:t xml:space="preserve">1.2 This tenancy is an </w:t>
      </w:r>
      <w:r>
        <w:rPr>
          <w:rFonts w:ascii="Arial" w:hAnsi="Arial" w:cs="Arial"/>
          <w:b/>
          <w:sz w:val="16"/>
          <w:szCs w:val="16"/>
          <w:lang w:val="en-US"/>
        </w:rPr>
        <w:t xml:space="preserve">Assured Periodic Tenancy</w:t>
      </w:r>
      <w:r>
        <w:rPr>
          <w:rFonts w:ascii="Arial" w:hAnsi="Arial" w:cs="Arial"/>
          <w:sz w:val="16"/>
          <w:szCs w:val="16"/>
          <w:lang w:val="en-US"/>
        </w:rPr>
        <w:t xml:space="preserve"> under the Housing Act 1988 as amended by the Renters’ Rights Act 2025. </w:t>
      </w:r>
      <w:r>
        <w:rPr>
          <w:rFonts w:ascii="Arial" w:hAnsi="Arial" w:cs="Arial"/>
          <w:b/>
          <w:sz w:val="16"/>
          <w:szCs w:val="16"/>
          <w:lang w:val="en-US"/>
        </w:rPr>
        <w:t xml:space="preserve">There is no fixed term.</w:t>
      </w:r>
      <w:r>
        <w:rPr>
          <w:rFonts w:ascii="Arial" w:hAnsi="Arial" w:cs="Arial"/>
          <w:sz w:val="16"/>
          <w:szCs w:val="16"/>
          <w:lang w:val="en-US"/>
        </w:rPr>
        <w:t xml:space="preserve"> No clause in this Agreement shall create a fixed term or minimum period of occupation.</w:t>
      </w:r>
    </w:p>
    <w:p>
      <w:pPr>
        <w:rPr>
          <w:rFonts w:ascii="Arial" w:hAnsi="Arial" w:cs="Arial"/>
          <w:sz w:val="16"/>
          <w:szCs w:val="16"/>
          <w:lang w:val="en-US"/>
        </w:rPr>
      </w:pPr>
      <w:r>
        <w:rPr>
          <w:rFonts w:ascii="Arial" w:hAnsi="Arial" w:cs="Arial"/>
          <w:sz w:val="16"/>
          <w:szCs w:val="16"/>
          <w:lang w:val="en-US"/>
        </w:rPr>
        <w:t xml:space="preserve">1.3 Section 21 of the Housing Act 1988 does not apply. The Landlord may only seek possession through Section 8 grounds as set out in Schedule 2 of the Housing Act 1988 (as amended).</w:t>
      </w:r>
    </w:p>
    <w:p>
      <w:pPr>
        <w:rPr>
          <w:rFonts w:ascii="Arial" w:hAnsi="Arial" w:cs="Arial"/>
          <w:sz w:val="16"/>
          <w:szCs w:val="16"/>
          <w:lang w:val="en-US"/>
        </w:rPr>
      </w:pPr>
    </w:p>
    <w:p>
      <w:pPr>
        <w:pStyle w:val="Heading1"/>
        <w:rPr>
          <w:lang w:val="en-US"/>
        </w:rPr>
      </w:pPr>
      <w:r>
        <w:rPr>
          <w:lang w:val="en-US"/>
        </w:rPr>
        <w:t xml:space="preserve">2. INTERPRETATION</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2.1 Any obligation on the Tenant not to do an act or thing includes an obligation not to permit or suffer another person to do such act or thing.</w:t>
      </w:r>
    </w:p>
    <w:p>
      <w:pPr>
        <w:rPr>
          <w:rFonts w:ascii="Arial" w:hAnsi="Arial" w:cs="Arial"/>
          <w:sz w:val="16"/>
          <w:szCs w:val="16"/>
          <w:lang w:val="en-US"/>
        </w:rPr>
      </w:pPr>
      <w:r>
        <w:rPr>
          <w:rFonts w:ascii="Arial" w:hAnsi="Arial" w:cs="Arial"/>
          <w:sz w:val="16"/>
          <w:szCs w:val="16"/>
          <w:lang w:val="en-US"/>
        </w:rPr>
        <w:t xml:space="preserve">2.2 Whenever there is more than one person comprising the Landlord or the Tenant, their obligations may be enforced against all of them jointly and against each individually.</w:t>
      </w:r>
    </w:p>
    <w:p>
      <w:pPr>
        <w:rPr>
          <w:rFonts w:ascii="Arial" w:hAnsi="Arial" w:cs="Arial"/>
          <w:sz w:val="16"/>
          <w:szCs w:val="16"/>
          <w:lang w:val="en-US"/>
        </w:rPr>
      </w:pPr>
      <w:r>
        <w:rPr>
          <w:rFonts w:ascii="Arial" w:hAnsi="Arial" w:cs="Arial"/>
          <w:sz w:val="16"/>
          <w:szCs w:val="16"/>
          <w:lang w:val="en-US"/>
        </w:rPr>
        <w:t xml:space="preserve">2.3 The Landlord and Tenant do not intend that this Agreement should be enforceable by any person solely by virtue of the Contracts (Rights of Third Parties) Act 1999.</w:t>
      </w:r>
    </w:p>
    <w:p>
      <w:pPr>
        <w:rPr>
          <w:rFonts w:ascii="Arial" w:hAnsi="Arial" w:cs="Arial"/>
          <w:sz w:val="16"/>
          <w:szCs w:val="16"/>
          <w:lang w:val="en-US"/>
        </w:rPr>
      </w:pPr>
      <w:r>
        <w:rPr>
          <w:rFonts w:ascii="Arial" w:hAnsi="Arial" w:cs="Arial"/>
          <w:sz w:val="16"/>
          <w:szCs w:val="16"/>
          <w:lang w:val="en-US"/>
        </w:rPr>
        <w:t xml:space="preserve">2.4 An obligation in this Agreement to pay money includes an obligation to pay Value Added Tax in respect of that payment.</w:t>
      </w:r>
    </w:p>
    <w:p>
      <w:pPr>
        <w:rPr>
          <w:rFonts w:ascii="Arial" w:hAnsi="Arial" w:cs="Arial"/>
          <w:sz w:val="16"/>
          <w:szCs w:val="16"/>
          <w:lang w:val="en-US"/>
        </w:rPr>
      </w:pPr>
    </w:p>
    <w:p>
      <w:pPr>
        <w:pStyle w:val="Heading1"/>
        <w:rPr>
          <w:lang w:val="en-US"/>
        </w:rPr>
      </w:pPr>
      <w:r>
        <w:rPr>
          <w:lang w:val="en-US"/>
        </w:rPr>
        <w:t xml:space="preserve">3. THE DEPOSIT</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3.1 The Tenant shall pay a deposit of £&lt;&lt;   &gt;&gt; (“</w:t>
      </w:r>
      <w:r>
        <w:rPr>
          <w:rFonts w:ascii="Arial" w:hAnsi="Arial" w:cs="Arial"/>
          <w:b/>
          <w:sz w:val="16"/>
          <w:szCs w:val="16"/>
          <w:lang w:val="en-US"/>
        </w:rPr>
        <w:t xml:space="preserve">Deposit</w:t>
      </w:r>
      <w:r>
        <w:rPr>
          <w:rFonts w:ascii="Arial" w:hAnsi="Arial" w:cs="Arial"/>
          <w:sz w:val="16"/>
          <w:szCs w:val="16"/>
          <w:lang w:val="en-US"/>
        </w:rPr>
        <w:t xml:space="preserve">”) which shall not exceed five weeks’ rent.</w:t>
      </w:r>
    </w:p>
    <w:p>
      <w:pPr>
        <w:rPr>
          <w:rFonts w:ascii="Arial" w:hAnsi="Arial" w:cs="Arial"/>
          <w:sz w:val="16"/>
          <w:szCs w:val="16"/>
          <w:lang w:val="en-US"/>
        </w:rPr>
      </w:pPr>
      <w:r>
        <w:rPr>
          <w:rFonts w:ascii="Arial" w:hAnsi="Arial" w:cs="Arial"/>
          <w:sz w:val="16"/>
          <w:szCs w:val="16"/>
          <w:lang w:val="en-US"/>
        </w:rPr>
        <w:t xml:space="preserve">3.2 The Deposit will be protected in an authorised tenancy deposit scheme within 30 days of receipt. The Landlord shall provide the Tenant with the Prescribed Information within 30 days of receiving the Deposit.</w:t>
      </w:r>
    </w:p>
    <w:p>
      <w:pPr>
        <w:rPr>
          <w:rFonts w:ascii="Arial" w:hAnsi="Arial" w:cs="Arial"/>
          <w:sz w:val="16"/>
          <w:szCs w:val="16"/>
          <w:lang w:val="en-US"/>
        </w:rPr>
      </w:pPr>
      <w:r>
        <w:rPr>
          <w:rFonts w:ascii="Arial" w:hAnsi="Arial" w:cs="Arial"/>
          <w:sz w:val="16"/>
          <w:szCs w:val="16"/>
          <w:lang w:val="en-US"/>
        </w:rPr>
        <w:t xml:space="preserve">3.3 The Deposit shall be held as security for the Tenant’s obligations under this Agreement.</w:t>
      </w:r>
    </w:p>
    <w:p>
      <w:pPr>
        <w:rPr>
          <w:rFonts w:ascii="Arial" w:hAnsi="Arial" w:cs="Arial"/>
          <w:sz w:val="16"/>
          <w:szCs w:val="16"/>
          <w:lang w:val="en-US"/>
        </w:rPr>
      </w:pPr>
      <w:r>
        <w:rPr>
          <w:rFonts w:ascii="Arial" w:hAnsi="Arial" w:cs="Arial"/>
          <w:sz w:val="16"/>
          <w:szCs w:val="16"/>
          <w:lang w:val="en-US"/>
        </w:rPr>
        <w:t xml:space="preserve">3.4 The Landlord shall notify the Tenant within 10 working days of the tenancy ending if the Landlord intends to withhold all or part of the Deposit, with written reasons.</w:t>
      </w:r>
    </w:p>
    <w:p>
      <w:pPr>
        <w:rPr>
          <w:rFonts w:ascii="Arial" w:hAnsi="Arial" w:cs="Arial"/>
          <w:sz w:val="16"/>
          <w:szCs w:val="16"/>
          <w:lang w:val="en-US"/>
        </w:rPr>
      </w:pPr>
      <w:r>
        <w:rPr>
          <w:rFonts w:ascii="Arial" w:hAnsi="Arial" w:cs="Arial"/>
          <w:sz w:val="16"/>
          <w:szCs w:val="16"/>
          <w:lang w:val="en-US"/>
        </w:rPr>
        <w:t xml:space="preserve">3.5 The Landlord shall inform the deposit scheme administrator within 20 working days of the end of the tenancy of either: (a) the agreed repayment amount; or (b) that the parties are in dispute.</w:t>
      </w:r>
    </w:p>
    <w:p>
      <w:pPr>
        <w:rPr>
          <w:rFonts w:ascii="Arial" w:hAnsi="Arial" w:cs="Arial"/>
          <w:sz w:val="16"/>
          <w:szCs w:val="16"/>
          <w:lang w:val="en-US"/>
        </w:rPr>
      </w:pPr>
      <w:r>
        <w:rPr>
          <w:rFonts w:ascii="Arial" w:hAnsi="Arial" w:cs="Arial"/>
          <w:sz w:val="16"/>
          <w:szCs w:val="16"/>
          <w:lang w:val="en-US"/>
        </w:rPr>
        <w:t xml:space="preserve">3.6 Any interest accrued on the Deposit shall be paid to the Landlord.</w:t>
      </w:r>
    </w:p>
    <w:p>
      <w:pPr>
        <w:rPr>
          <w:rFonts w:ascii="Arial" w:hAnsi="Arial" w:cs="Arial"/>
          <w:sz w:val="16"/>
          <w:szCs w:val="16"/>
          <w:lang w:val="en-US"/>
        </w:rPr>
      </w:pPr>
    </w:p>
    <w:p>
      <w:pPr>
        <w:pStyle w:val="Heading1"/>
        <w:rPr>
          <w:lang w:val="en-US"/>
        </w:rPr>
      </w:pPr>
      <w:r>
        <w:rPr>
          <w:lang w:val="en-US"/>
        </w:rPr>
        <w:t xml:space="preserve">4. THE TENANT’S COVENANTS</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4.1 Rent, Council Tax and Utilities</w:t>
      </w:r>
    </w:p>
    <w:p>
      <w:pPr>
        <w:rPr>
          <w:rFonts w:ascii="Arial" w:hAnsi="Arial" w:cs="Arial"/>
          <w:sz w:val="16"/>
          <w:szCs w:val="16"/>
          <w:lang w:val="en-US"/>
        </w:rPr>
      </w:pPr>
      <w:r>
        <w:rPr>
          <w:rFonts w:ascii="Arial" w:hAnsi="Arial" w:cs="Arial"/>
          <w:sz w:val="16"/>
          <w:szCs w:val="16"/>
          <w:lang w:val="en-US"/>
        </w:rPr>
        <w:t xml:space="preserve">4.1.1 To pay the Rent on the Due Date without deduction or set-off, by the method specified to the Tenant in writing by the Landlord.</w:t>
      </w:r>
    </w:p>
    <w:p>
      <w:pPr>
        <w:rPr>
          <w:rFonts w:ascii="Arial" w:hAnsi="Arial" w:cs="Arial"/>
          <w:sz w:val="16"/>
          <w:szCs w:val="16"/>
          <w:lang w:val="en-US"/>
        </w:rPr>
      </w:pPr>
      <w:r>
        <w:rPr>
          <w:rFonts w:ascii="Arial" w:hAnsi="Arial" w:cs="Arial"/>
          <w:sz w:val="16"/>
          <w:szCs w:val="16"/>
          <w:lang w:val="en-US"/>
        </w:rPr>
        <w:t xml:space="preserve">4.1.2 </w:t>
      </w:r>
      <w:r>
        <w:rPr>
          <w:rFonts w:ascii="Arial" w:hAnsi="Arial" w:cs="Arial"/>
          <w:b/>
          <w:sz w:val="16"/>
          <w:szCs w:val="16"/>
          <w:lang w:val="en-US"/>
        </w:rPr>
        <w:t xml:space="preserve">Rent in Advance:</w:t>
      </w:r>
      <w:r>
        <w:rPr>
          <w:rFonts w:ascii="Arial" w:hAnsi="Arial" w:cs="Arial"/>
          <w:sz w:val="16"/>
          <w:szCs w:val="16"/>
          <w:lang w:val="en-US"/>
        </w:rPr>
        <w:t xml:space="preserve"> No more than one (1) month’s rent in advance may be requested or accepted by the Landlord. Any clause or agreement purporting to require more than one month’s rent in advance is void.</w:t>
      </w:r>
    </w:p>
    <w:p>
      <w:pPr>
        <w:rPr>
          <w:rFonts w:ascii="Arial" w:hAnsi="Arial" w:cs="Arial"/>
          <w:sz w:val="16"/>
          <w:szCs w:val="16"/>
          <w:lang w:val="en-US"/>
        </w:rPr>
      </w:pPr>
      <w:r>
        <w:rPr>
          <w:rFonts w:ascii="Arial" w:hAnsi="Arial" w:cs="Arial"/>
          <w:sz w:val="16"/>
          <w:szCs w:val="16"/>
          <w:lang w:val="en-US"/>
        </w:rPr>
        <w:t xml:space="preserve">4.1.3 </w:t>
      </w:r>
      <w:r>
        <w:rPr>
          <w:rFonts w:ascii="Arial" w:hAnsi="Arial" w:cs="Arial"/>
          <w:b/>
          <w:sz w:val="16"/>
          <w:szCs w:val="16"/>
          <w:lang w:val="en-US"/>
        </w:rPr>
        <w:t xml:space="preserve">Rent Bidding:</w:t>
      </w:r>
      <w:r>
        <w:rPr>
          <w:rFonts w:ascii="Arial" w:hAnsi="Arial" w:cs="Arial"/>
          <w:sz w:val="16"/>
          <w:szCs w:val="16"/>
          <w:lang w:val="en-US"/>
        </w:rPr>
        <w:t xml:space="preserve"> The Landlord shall not invite, encourage or accept any offer of rent above the advertised asking rent.</w:t>
      </w:r>
    </w:p>
    <w:p>
      <w:pPr>
        <w:rPr>
          <w:rFonts w:ascii="Arial" w:hAnsi="Arial" w:cs="Arial"/>
          <w:sz w:val="16"/>
          <w:szCs w:val="16"/>
          <w:lang w:val="en-US"/>
        </w:rPr>
      </w:pPr>
      <w:r>
        <w:rPr>
          <w:rFonts w:ascii="Arial" w:hAnsi="Arial" w:cs="Arial"/>
          <w:sz w:val="16"/>
          <w:szCs w:val="16"/>
          <w:lang w:val="en-US"/>
        </w:rPr>
        <w:t xml:space="preserve">4.1.4 To pay all Council Tax and to indemnify the Landlord in respect of any Council Tax which (during the tenancy) the Landlord becomes obliged to pay because the Tenant ceases to live at the Property.</w:t>
      </w:r>
    </w:p>
    <w:p>
      <w:pPr>
        <w:rPr>
          <w:rFonts w:ascii="Arial" w:hAnsi="Arial" w:cs="Arial"/>
          <w:sz w:val="16"/>
          <w:szCs w:val="16"/>
          <w:lang w:val="en-US"/>
        </w:rPr>
      </w:pPr>
      <w:r>
        <w:rPr>
          <w:rFonts w:ascii="Arial" w:hAnsi="Arial" w:cs="Arial"/>
          <w:sz w:val="16"/>
          <w:szCs w:val="16"/>
          <w:lang w:val="en-US"/>
        </w:rPr>
        <w:t xml:space="preserve">4.1.5 To pay to the relevant authorities all charges in relation to the supply of electricity, gas or water (including sewerage) services to the Property during the tenancy, and to pay all charges for telephone and broadband services. The sums covered include standing charges and VAT.</w:t>
      </w:r>
    </w:p>
    <w:p>
      <w:pPr>
        <w:rPr>
          <w:rFonts w:ascii="Arial" w:hAnsi="Arial" w:cs="Arial"/>
          <w:sz w:val="16"/>
          <w:szCs w:val="16"/>
          <w:lang w:val="en-US"/>
        </w:rPr>
      </w:pPr>
      <w:r>
        <w:rPr>
          <w:rFonts w:ascii="Arial" w:hAnsi="Arial" w:cs="Arial"/>
          <w:sz w:val="16"/>
          <w:szCs w:val="16"/>
          <w:lang w:val="en-US"/>
        </w:rPr>
        <w:t xml:space="preserve">4.1.6 Not to change any of the service providers or metering equipment without the written consent of the Landlord.</w:t>
      </w:r>
    </w:p>
    <w:p>
      <w:pPr>
        <w:rPr>
          <w:rFonts w:ascii="Arial" w:hAnsi="Arial" w:cs="Arial"/>
          <w:sz w:val="16"/>
          <w:szCs w:val="16"/>
          <w:lang w:val="en-US"/>
        </w:rPr>
      </w:pPr>
      <w:r>
        <w:rPr>
          <w:rFonts w:ascii="Arial" w:hAnsi="Arial" w:cs="Arial"/>
          <w:sz w:val="16"/>
          <w:szCs w:val="16"/>
          <w:lang w:val="en-US"/>
        </w:rPr>
        <w:t xml:space="preserve">4.1.7 To pay the television licence fee in respect of any television set at the Property.</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4.2 Repair and Maintenance of the Property and Contents</w:t>
      </w:r>
    </w:p>
    <w:p>
      <w:pPr>
        <w:rPr>
          <w:rFonts w:ascii="Arial" w:hAnsi="Arial" w:cs="Arial"/>
          <w:sz w:val="16"/>
          <w:szCs w:val="16"/>
          <w:lang w:val="en-US"/>
        </w:rPr>
      </w:pPr>
      <w:r>
        <w:rPr>
          <w:rFonts w:ascii="Arial" w:hAnsi="Arial" w:cs="Arial"/>
          <w:sz w:val="16"/>
          <w:szCs w:val="16"/>
          <w:lang w:val="en-US"/>
        </w:rPr>
        <w:t xml:space="preserve">4.2.1 To use the Property in a reasonable and careful manner and not allow it to deteriorate beyond fair wear and tear, and to keep the interior of the Property in good and clean condition.</w:t>
      </w:r>
    </w:p>
    <w:p>
      <w:pPr>
        <w:rPr>
          <w:rFonts w:ascii="Arial" w:hAnsi="Arial" w:cs="Arial"/>
          <w:sz w:val="16"/>
          <w:szCs w:val="16"/>
          <w:lang w:val="en-US"/>
        </w:rPr>
      </w:pPr>
      <w:r>
        <w:rPr>
          <w:rFonts w:ascii="Arial" w:hAnsi="Arial" w:cs="Arial"/>
          <w:sz w:val="16"/>
          <w:szCs w:val="16"/>
          <w:lang w:val="en-US"/>
        </w:rPr>
        <w:t xml:space="preserve">4.2.2 To make good all damage caused to the Property (including the Landlord’s fixtures and fittings) or to any other property owned by the Landlord through: (a) any breach of this Agreement; (b) any improper use or negligence of the Tenant or any person at the Property with the Tenant’s permission.</w:t>
      </w:r>
    </w:p>
    <w:p>
      <w:pPr>
        <w:rPr>
          <w:rFonts w:ascii="Arial" w:hAnsi="Arial" w:cs="Arial"/>
          <w:sz w:val="16"/>
          <w:szCs w:val="16"/>
          <w:lang w:val="en-US"/>
        </w:rPr>
      </w:pPr>
      <w:r>
        <w:rPr>
          <w:rFonts w:ascii="Arial" w:hAnsi="Arial" w:cs="Arial"/>
          <w:sz w:val="16"/>
          <w:szCs w:val="16"/>
          <w:lang w:val="en-US"/>
        </w:rPr>
        <w:t xml:space="preserve">4.2.3 Subject to the Landlord’s obligations in clause 7, to keep the items specified in the Inventory clean and in the same condition as at the commencement of the tenancy (fair wear and tear excepted).</w:t>
      </w:r>
    </w:p>
    <w:p>
      <w:pPr>
        <w:rPr>
          <w:rFonts w:ascii="Arial" w:hAnsi="Arial" w:cs="Arial"/>
          <w:sz w:val="16"/>
          <w:szCs w:val="16"/>
          <w:lang w:val="en-US"/>
        </w:rPr>
      </w:pPr>
      <w:r>
        <w:rPr>
          <w:rFonts w:ascii="Arial" w:hAnsi="Arial" w:cs="Arial"/>
          <w:sz w:val="16"/>
          <w:szCs w:val="16"/>
          <w:lang w:val="en-US"/>
        </w:rPr>
        <w:t xml:space="preserve">4.2.4 </w:t>
      </w:r>
      <w:r>
        <w:rPr>
          <w:rFonts w:ascii="Arial" w:hAnsi="Arial" w:cs="Arial"/>
          <w:b/>
          <w:sz w:val="16"/>
          <w:szCs w:val="16"/>
          <w:lang w:val="en-US"/>
        </w:rPr>
        <w:t xml:space="preserve">Damp and Mould:</w:t>
      </w:r>
      <w:r>
        <w:rPr>
          <w:rFonts w:ascii="Arial" w:hAnsi="Arial" w:cs="Arial"/>
          <w:sz w:val="16"/>
          <w:szCs w:val="16"/>
          <w:lang w:val="en-US"/>
        </w:rPr>
        <w:t xml:space="preserve"> To promptly report any signs of damp, mould or condensation to the Landlord in writing. The Tenant is responsible for reasonable ventilation practices. The Tenant shall not use this clause to avoid reporting matters that are the Landlord’s statutory responsibility.</w:t>
      </w:r>
    </w:p>
    <w:p>
      <w:pPr>
        <w:rPr>
          <w:rFonts w:ascii="Arial" w:hAnsi="Arial" w:cs="Arial"/>
          <w:sz w:val="16"/>
          <w:szCs w:val="16"/>
          <w:lang w:val="en-US"/>
        </w:rPr>
      </w:pPr>
      <w:r>
        <w:rPr>
          <w:rFonts w:ascii="Arial" w:hAnsi="Arial" w:cs="Arial"/>
          <w:sz w:val="16"/>
          <w:szCs w:val="16"/>
          <w:lang w:val="en-US"/>
        </w:rPr>
        <w:t xml:space="preserve">4.2.5 To keep the Property heated to a reasonable level during cold weather to prevent damage to pipes, plumbing and structure.</w:t>
      </w:r>
    </w:p>
    <w:p>
      <w:pPr>
        <w:rPr>
          <w:rFonts w:ascii="Arial" w:hAnsi="Arial" w:cs="Arial"/>
          <w:sz w:val="16"/>
          <w:szCs w:val="16"/>
          <w:lang w:val="en-US"/>
        </w:rPr>
      </w:pPr>
      <w:r>
        <w:rPr>
          <w:rFonts w:ascii="Arial" w:hAnsi="Arial" w:cs="Arial"/>
          <w:sz w:val="16"/>
          <w:szCs w:val="16"/>
          <w:lang w:val="en-US"/>
        </w:rPr>
        <w:t xml:space="preserve">4.2.6 To test all smoke and carbon monoxide alarms at the Property every month, to change the batteries when necessary and to report any faults to the Landlord as soon as possible.</w:t>
      </w:r>
    </w:p>
    <w:p>
      <w:pPr>
        <w:rPr>
          <w:rFonts w:ascii="Arial" w:hAnsi="Arial" w:cs="Arial"/>
          <w:sz w:val="16"/>
          <w:szCs w:val="16"/>
          <w:lang w:val="en-US"/>
        </w:rPr>
      </w:pPr>
      <w:r>
        <w:rPr>
          <w:rFonts w:ascii="Arial" w:hAnsi="Arial" w:cs="Arial"/>
          <w:sz w:val="16"/>
          <w:szCs w:val="16"/>
          <w:lang w:val="en-US"/>
        </w:rPr>
        <w:t xml:space="preserve">4.2.7 To replace all light bulbs, batteries and electrical fuses which become defective.</w:t>
      </w:r>
    </w:p>
    <w:p>
      <w:pPr>
        <w:rPr>
          <w:rFonts w:ascii="Arial" w:hAnsi="Arial" w:cs="Arial"/>
          <w:sz w:val="16"/>
          <w:szCs w:val="16"/>
          <w:lang w:val="en-US"/>
        </w:rPr>
      </w:pPr>
      <w:r>
        <w:rPr>
          <w:rFonts w:ascii="Arial" w:hAnsi="Arial" w:cs="Arial"/>
          <w:sz w:val="16"/>
          <w:szCs w:val="16"/>
          <w:lang w:val="en-US"/>
        </w:rPr>
        <w:t xml:space="preserve">4.2.8 To give the Landlord written notice of any damage, destruction, loss or happening to the Property or the contents as soon as it comes to the attention of the Tenant.</w:t>
      </w:r>
    </w:p>
    <w:p>
      <w:pPr>
        <w:rPr>
          <w:rFonts w:ascii="Arial" w:hAnsi="Arial" w:cs="Arial"/>
          <w:sz w:val="16"/>
          <w:szCs w:val="16"/>
          <w:lang w:val="en-US"/>
        </w:rPr>
      </w:pPr>
      <w:r>
        <w:rPr>
          <w:rFonts w:ascii="Arial" w:hAnsi="Arial" w:cs="Arial"/>
          <w:sz w:val="16"/>
          <w:szCs w:val="16"/>
          <w:lang w:val="en-US"/>
        </w:rPr>
        <w:t xml:space="preserve">4.2.9 If the Landlord gives the Tenant written notice of any failure to carry out repairs which are the Tenant’s obligation, to carry out such repairs within a reasonable period (or immediately in an emergency), failing which the Landlord may enter to perform the works, the cost of which will be paid by the Tenant upon demand.</w:t>
      </w:r>
    </w:p>
    <w:p>
      <w:pPr>
        <w:rPr>
          <w:rFonts w:ascii="Arial" w:hAnsi="Arial" w:cs="Arial"/>
          <w:sz w:val="16"/>
          <w:szCs w:val="16"/>
          <w:lang w:val="en-US"/>
        </w:rPr>
      </w:pPr>
      <w:r>
        <w:rPr>
          <w:rFonts w:ascii="Arial" w:hAnsi="Arial" w:cs="Arial"/>
          <w:sz w:val="16"/>
          <w:szCs w:val="16"/>
          <w:lang w:val="en-US"/>
        </w:rPr>
        <w:t xml:space="preserve">4.2.10 At the end of the tenancy to return the Property, including all linen, carpets, upholstery and curtains, cleaned to at least the same standard as recorded in the Inventory at the commencement of the tenancy, allowing for fair wear and tear. Professional cleaning is not mandatory unless the condition of the items at the end of the tenancy falls below that recorded at the start.</w:t>
      </w:r>
    </w:p>
    <w:p>
      <w:pPr>
        <w:rPr>
          <w:rFonts w:ascii="Arial" w:hAnsi="Arial" w:cs="Arial"/>
          <w:sz w:val="16"/>
          <w:szCs w:val="16"/>
          <w:lang w:val="en-US"/>
        </w:rPr>
      </w:pPr>
      <w:r>
        <w:rPr>
          <w:rFonts w:ascii="Arial" w:hAnsi="Arial" w:cs="Arial"/>
          <w:sz w:val="16"/>
          <w:szCs w:val="16"/>
          <w:lang w:val="en-US"/>
        </w:rPr>
        <w:t xml:space="preserve">4.2.11 To maintain the garden (if any) in reasonable order, free from weeds and litter.</w:t>
      </w:r>
    </w:p>
    <w:p>
      <w:pPr>
        <w:rPr>
          <w:rFonts w:ascii="Arial" w:hAnsi="Arial" w:cs="Arial"/>
          <w:sz w:val="16"/>
          <w:szCs w:val="16"/>
          <w:lang w:val="en-US"/>
        </w:rPr>
      </w:pPr>
      <w:r>
        <w:rPr>
          <w:rFonts w:ascii="Arial" w:hAnsi="Arial" w:cs="Arial"/>
          <w:sz w:val="16"/>
          <w:szCs w:val="16"/>
          <w:lang w:val="en-US"/>
        </w:rPr>
        <w:t xml:space="preserve">4.2.12 To place all refuse in proper receptacles and ensure regular collection by the local authority.</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4.3 Access for Landlord</w:t>
      </w:r>
    </w:p>
    <w:p>
      <w:pPr>
        <w:rPr>
          <w:rFonts w:ascii="Arial" w:hAnsi="Arial" w:cs="Arial"/>
          <w:sz w:val="16"/>
          <w:szCs w:val="16"/>
          <w:lang w:val="en-US"/>
        </w:rPr>
      </w:pPr>
      <w:r>
        <w:rPr>
          <w:rFonts w:ascii="Arial" w:hAnsi="Arial" w:cs="Arial"/>
          <w:sz w:val="16"/>
          <w:szCs w:val="16"/>
          <w:lang w:val="en-US"/>
        </w:rPr>
        <w:t xml:space="preserve">4.3.1 To allow the Landlord and/or his agent or anyone with the Landlord’s written authority, together with any workmen and necessary appliances, to enter the Property at reasonable times after giving at least 24 hours’ written notice, to inspect its condition and state of repair and to carry out any necessary repairs.</w:t>
      </w:r>
    </w:p>
    <w:p>
      <w:pPr>
        <w:rPr>
          <w:rFonts w:ascii="Arial" w:hAnsi="Arial" w:cs="Arial"/>
          <w:sz w:val="16"/>
          <w:szCs w:val="16"/>
          <w:lang w:val="en-US"/>
        </w:rPr>
      </w:pPr>
      <w:r>
        <w:rPr>
          <w:rFonts w:ascii="Arial" w:hAnsi="Arial" w:cs="Arial"/>
          <w:sz w:val="16"/>
          <w:szCs w:val="16"/>
          <w:lang w:val="en-US"/>
        </w:rPr>
        <w:t xml:space="preserve">4.3.2 In cases of emergency to allow the Landlord or anyone with the Landlord’s authority to enter the Property at any time and without notice.</w:t>
      </w:r>
    </w:p>
    <w:p>
      <w:pPr>
        <w:rPr>
          <w:rFonts w:ascii="Arial" w:hAnsi="Arial" w:cs="Arial"/>
          <w:sz w:val="16"/>
          <w:szCs w:val="16"/>
          <w:lang w:val="en-US"/>
        </w:rPr>
      </w:pPr>
      <w:r>
        <w:rPr>
          <w:rFonts w:ascii="Arial" w:hAnsi="Arial" w:cs="Arial"/>
          <w:sz w:val="16"/>
          <w:szCs w:val="16"/>
          <w:lang w:val="en-US"/>
        </w:rPr>
        <w:t xml:space="preserve">4.3.3 Not to obstruct or interfere with any persons lawfully entering the Property under this Agreement.</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4.4 Use of the Property</w:t>
      </w:r>
    </w:p>
    <w:p>
      <w:pPr>
        <w:rPr>
          <w:rFonts w:ascii="Arial" w:hAnsi="Arial" w:cs="Arial"/>
          <w:sz w:val="16"/>
          <w:szCs w:val="16"/>
          <w:lang w:val="en-US"/>
        </w:rPr>
      </w:pPr>
      <w:r>
        <w:rPr>
          <w:rFonts w:ascii="Arial" w:hAnsi="Arial" w:cs="Arial"/>
          <w:sz w:val="16"/>
          <w:szCs w:val="16"/>
          <w:lang w:val="en-US"/>
        </w:rPr>
        <w:t xml:space="preserve">4.4.1 To use the Property as the Tenant’s only or principal private home and not to carry on any profession, trade or business at the Property without the Landlord’s prior written consent.</w:t>
      </w:r>
    </w:p>
    <w:p>
      <w:pPr>
        <w:rPr>
          <w:rFonts w:ascii="Arial" w:hAnsi="Arial" w:cs="Arial"/>
          <w:sz w:val="16"/>
          <w:szCs w:val="16"/>
          <w:lang w:val="en-US"/>
        </w:rPr>
      </w:pPr>
      <w:r>
        <w:rPr>
          <w:rFonts w:ascii="Arial" w:hAnsi="Arial" w:cs="Arial"/>
          <w:sz w:val="16"/>
          <w:szCs w:val="16"/>
          <w:lang w:val="en-US"/>
        </w:rPr>
        <w:t xml:space="preserve">4.4.2 Not to do anything on the Property which may be a nuisance, cause annoyance, or constitute anti-social behaviour affecting the Landlord, neighbours or the local community.</w:t>
      </w:r>
    </w:p>
    <w:p>
      <w:pPr>
        <w:rPr>
          <w:rFonts w:ascii="Arial" w:hAnsi="Arial" w:cs="Arial"/>
          <w:sz w:val="16"/>
          <w:szCs w:val="16"/>
          <w:lang w:val="en-US"/>
        </w:rPr>
      </w:pPr>
      <w:r>
        <w:rPr>
          <w:rFonts w:ascii="Arial" w:hAnsi="Arial" w:cs="Arial"/>
          <w:sz w:val="16"/>
          <w:szCs w:val="16"/>
          <w:lang w:val="en-US"/>
        </w:rPr>
        <w:t xml:space="preserve">4.4.3 Not to use the Property for any illegal or immoral purposes.</w:t>
      </w:r>
    </w:p>
    <w:p>
      <w:pPr>
        <w:rPr>
          <w:rFonts w:ascii="Arial" w:hAnsi="Arial" w:cs="Arial"/>
          <w:sz w:val="16"/>
          <w:szCs w:val="16"/>
          <w:lang w:val="en-US"/>
        </w:rPr>
      </w:pPr>
      <w:r>
        <w:rPr>
          <w:rFonts w:ascii="Arial" w:hAnsi="Arial" w:cs="Arial"/>
          <w:sz w:val="16"/>
          <w:szCs w:val="16"/>
          <w:lang w:val="en-US"/>
        </w:rPr>
        <w:t xml:space="preserve">4.4.4 Not to use the Property in a way which contravenes a restriction affecting the Landlord’s title which the Landlord has brought to the Tenant’s attention.</w:t>
      </w:r>
    </w:p>
    <w:p>
      <w:pPr>
        <w:rPr>
          <w:rFonts w:ascii="Arial" w:hAnsi="Arial" w:cs="Arial"/>
          <w:sz w:val="16"/>
          <w:szCs w:val="16"/>
          <w:lang w:val="en-US"/>
        </w:rPr>
      </w:pPr>
      <w:r>
        <w:rPr>
          <w:rFonts w:ascii="Arial" w:hAnsi="Arial" w:cs="Arial"/>
          <w:sz w:val="16"/>
          <w:szCs w:val="16"/>
          <w:lang w:val="en-US"/>
        </w:rPr>
        <w:t xml:space="preserve">4.4.5 Not to cause or permit any dangerous or inflammable substance to collect in or on the Property apart from those needed for general domestic use.</w:t>
      </w:r>
    </w:p>
    <w:p>
      <w:pPr>
        <w:rPr>
          <w:rFonts w:ascii="Arial" w:hAnsi="Arial" w:cs="Arial"/>
          <w:sz w:val="16"/>
          <w:szCs w:val="16"/>
          <w:lang w:val="en-US"/>
        </w:rPr>
      </w:pPr>
      <w:r>
        <w:rPr>
          <w:rFonts w:ascii="Arial" w:hAnsi="Arial" w:cs="Arial"/>
          <w:sz w:val="16"/>
          <w:szCs w:val="16"/>
          <w:lang w:val="en-US"/>
        </w:rPr>
        <w:t xml:space="preserve">4.4.6 Not to display any notice or advertisement visible from outside the Property without the Landlord’s prior written consent.</w:t>
      </w:r>
    </w:p>
    <w:p>
      <w:pPr>
        <w:rPr>
          <w:rFonts w:ascii="Arial" w:hAnsi="Arial" w:cs="Arial"/>
          <w:sz w:val="16"/>
          <w:szCs w:val="16"/>
          <w:lang w:val="en-US"/>
        </w:rPr>
      </w:pPr>
      <w:r>
        <w:rPr>
          <w:rFonts w:ascii="Arial" w:hAnsi="Arial" w:cs="Arial"/>
          <w:sz w:val="16"/>
          <w:szCs w:val="16"/>
          <w:lang w:val="en-US"/>
        </w:rPr>
        <w:t xml:space="preserve">4.4.7 </w:t>
      </w:r>
      <w:r>
        <w:rPr>
          <w:rFonts w:ascii="Arial" w:hAnsi="Arial" w:cs="Arial"/>
          <w:b/>
          <w:sz w:val="16"/>
          <w:szCs w:val="16"/>
          <w:lang w:val="en-US"/>
        </w:rPr>
        <w:t xml:space="preserve">Pets:</w:t>
      </w:r>
      <w:r>
        <w:rPr>
          <w:rFonts w:ascii="Arial" w:hAnsi="Arial" w:cs="Arial"/>
          <w:sz w:val="16"/>
          <w:szCs w:val="16"/>
          <w:lang w:val="en-US"/>
        </w:rPr>
        <w:t xml:space="preserve"> Not to keep any pet or animal at the Property without the Landlord’s prior written consent, which shall not be unreasonably withheld or delayed. Where consent is refused, the Landlord shall provide written reasons within 28 days of the request.</w:t>
      </w:r>
    </w:p>
    <w:p>
      <w:pPr>
        <w:rPr>
          <w:rFonts w:ascii="Arial" w:hAnsi="Arial" w:cs="Arial"/>
          <w:sz w:val="16"/>
          <w:szCs w:val="16"/>
          <w:lang w:val="en-US"/>
        </w:rPr>
      </w:pPr>
      <w:r>
        <w:rPr>
          <w:rFonts w:ascii="Arial" w:hAnsi="Arial" w:cs="Arial"/>
          <w:sz w:val="16"/>
          <w:szCs w:val="16"/>
          <w:lang w:val="en-US"/>
        </w:rPr>
        <w:t xml:space="preserve">4.4.8 Not to leave the Property unoccupied for more than 30 consecutive days without giving notice to the Landlord.</w:t>
      </w:r>
    </w:p>
    <w:p>
      <w:pPr>
        <w:rPr>
          <w:rFonts w:ascii="Arial" w:hAnsi="Arial" w:cs="Arial"/>
          <w:sz w:val="16"/>
          <w:szCs w:val="16"/>
          <w:lang w:val="en-US"/>
        </w:rPr>
      </w:pPr>
      <w:r>
        <w:rPr>
          <w:rFonts w:ascii="Arial" w:hAnsi="Arial" w:cs="Arial"/>
          <w:sz w:val="16"/>
          <w:szCs w:val="16"/>
          <w:lang w:val="en-US"/>
        </w:rPr>
        <w:t xml:space="preserve">4.4.9 Not to smoke (including e-cigarettes and vaping) anywhere within the Property or outbuildings.</w:t>
      </w:r>
    </w:p>
    <w:p>
      <w:pPr>
        <w:rPr>
          <w:rFonts w:ascii="Arial" w:hAnsi="Arial" w:cs="Arial"/>
          <w:sz w:val="16"/>
          <w:szCs w:val="16"/>
          <w:lang w:val="en-US"/>
        </w:rPr>
      </w:pPr>
      <w:r>
        <w:rPr>
          <w:rFonts w:ascii="Arial" w:hAnsi="Arial" w:cs="Arial"/>
          <w:sz w:val="16"/>
          <w:szCs w:val="16"/>
          <w:lang w:val="en-US"/>
        </w:rPr>
        <w:t xml:space="preserve">4.4.10 Not to assign or sublet the Property or any part of it, and not to part with possession or share occupation of the Property or any part of it without the Landlord’s prior written consent.</w:t>
      </w:r>
    </w:p>
    <w:p>
      <w:pPr>
        <w:rPr>
          <w:rFonts w:ascii="Arial" w:hAnsi="Arial" w:cs="Arial"/>
          <w:sz w:val="16"/>
          <w:szCs w:val="16"/>
          <w:lang w:val="en-US"/>
        </w:rPr>
      </w:pPr>
      <w:r>
        <w:rPr>
          <w:rFonts w:ascii="Arial" w:hAnsi="Arial" w:cs="Arial"/>
          <w:sz w:val="16"/>
          <w:szCs w:val="16"/>
          <w:lang w:val="en-US"/>
        </w:rPr>
        <w:t xml:space="preserve">4.4.11 Not to alter, add to or interfere with the structure, exterior or interior of the Property, or any fixtures, fittings or installations, without the Landlord’s prior written consent.</w:t>
      </w:r>
    </w:p>
    <w:p>
      <w:pPr>
        <w:rPr>
          <w:rFonts w:ascii="Arial" w:hAnsi="Arial" w:cs="Arial"/>
          <w:sz w:val="16"/>
          <w:szCs w:val="16"/>
          <w:lang w:val="en-US"/>
        </w:rPr>
      </w:pPr>
      <w:r>
        <w:rPr>
          <w:rFonts w:ascii="Arial" w:hAnsi="Arial" w:cs="Arial"/>
          <w:sz w:val="16"/>
          <w:szCs w:val="16"/>
          <w:lang w:val="en-US"/>
        </w:rPr>
        <w:t xml:space="preserve">4.4.12 Not to do any act or thing which may invalidate or increase the premium on any insurance policy maintained by the Landlord on the Property.</w:t>
      </w:r>
    </w:p>
    <w:p>
      <w:pPr>
        <w:rPr>
          <w:rFonts w:ascii="Arial" w:hAnsi="Arial" w:cs="Arial"/>
          <w:sz w:val="16"/>
          <w:szCs w:val="16"/>
          <w:lang w:val="en-US"/>
        </w:rPr>
      </w:pPr>
      <w:r>
        <w:rPr>
          <w:rFonts w:ascii="Arial" w:hAnsi="Arial" w:cs="Arial"/>
          <w:sz w:val="16"/>
          <w:szCs w:val="16"/>
          <w:lang w:val="en-US"/>
        </w:rPr>
        <w:t xml:space="preserve">4.4.13 Not to make or have made any duplicate keys nor replace or add any new locks without the Landlord’s prior written consent (except in emergency, in which case the Landlord must be notified immediately).</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4.5 Right to Rent</w:t>
      </w:r>
    </w:p>
    <w:p>
      <w:pPr>
        <w:rPr>
          <w:rFonts w:ascii="Arial" w:hAnsi="Arial" w:cs="Arial"/>
          <w:sz w:val="16"/>
          <w:szCs w:val="16"/>
          <w:lang w:val="en-US"/>
        </w:rPr>
      </w:pPr>
      <w:r>
        <w:rPr>
          <w:rFonts w:ascii="Arial" w:hAnsi="Arial" w:cs="Arial"/>
          <w:sz w:val="16"/>
          <w:szCs w:val="16"/>
          <w:lang w:val="en-US"/>
        </w:rPr>
        <w:t xml:space="preserve">4.5.1 The Tenant confirms that all adult occupiers of the Property have the right to rent in England under the Immigration Act 2014 and will maintain this right throughout the tenancy.</w:t>
      </w:r>
    </w:p>
    <w:p>
      <w:pPr>
        <w:rPr>
          <w:rFonts w:ascii="Arial" w:hAnsi="Arial" w:cs="Arial"/>
          <w:sz w:val="16"/>
          <w:szCs w:val="16"/>
          <w:lang w:val="en-US"/>
        </w:rPr>
      </w:pPr>
      <w:r>
        <w:rPr>
          <w:rFonts w:ascii="Arial" w:hAnsi="Arial" w:cs="Arial"/>
          <w:sz w:val="16"/>
          <w:szCs w:val="16"/>
          <w:lang w:val="en-US"/>
        </w:rPr>
        <w:t xml:space="preserve">4.5.2 The Tenant agrees to provide reasonable evidence of this right to the Landlord upon reasonable request during the tenancy.</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4.6 Notices and Legal Matters</w:t>
      </w:r>
    </w:p>
    <w:p>
      <w:pPr>
        <w:rPr>
          <w:rFonts w:ascii="Arial" w:hAnsi="Arial" w:cs="Arial"/>
          <w:sz w:val="16"/>
          <w:szCs w:val="16"/>
          <w:lang w:val="en-US"/>
        </w:rPr>
      </w:pPr>
      <w:r>
        <w:rPr>
          <w:rFonts w:ascii="Arial" w:hAnsi="Arial" w:cs="Arial"/>
          <w:sz w:val="16"/>
          <w:szCs w:val="16"/>
          <w:lang w:val="en-US"/>
        </w:rPr>
        <w:t xml:space="preserve">4.6.1 Within 7 days of receipt of any notice, direction or order affecting the Property, to deliver a copy to the Landlord.</w:t>
      </w:r>
    </w:p>
    <w:p>
      <w:pPr>
        <w:rPr>
          <w:rFonts w:ascii="Arial" w:hAnsi="Arial" w:cs="Arial"/>
          <w:sz w:val="16"/>
          <w:szCs w:val="16"/>
          <w:lang w:val="en-US"/>
        </w:rPr>
      </w:pPr>
      <w:r>
        <w:rPr>
          <w:rFonts w:ascii="Arial" w:hAnsi="Arial" w:cs="Arial"/>
          <w:sz w:val="16"/>
          <w:szCs w:val="16"/>
          <w:lang w:val="en-US"/>
        </w:rPr>
        <w:t xml:space="preserve">4.6.2 To forward to the Landlord within 7 days any post or other items delivered to the Property addressed to the Landlord.</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4.7 End of the Tenancy</w:t>
      </w:r>
    </w:p>
    <w:p>
      <w:pPr>
        <w:rPr>
          <w:rFonts w:ascii="Arial" w:hAnsi="Arial" w:cs="Arial"/>
          <w:sz w:val="16"/>
          <w:szCs w:val="16"/>
          <w:lang w:val="en-US"/>
        </w:rPr>
      </w:pPr>
      <w:r>
        <w:rPr>
          <w:rFonts w:ascii="Arial" w:hAnsi="Arial" w:cs="Arial"/>
          <w:sz w:val="16"/>
          <w:szCs w:val="16"/>
          <w:lang w:val="en-US"/>
        </w:rPr>
        <w:t xml:space="preserve">4.7.1 At the end of the tenancy to remove the Tenant’s belongings from the Property and leave the Property clean and tidy so that it is ready for immediate re-occupation.</w:t>
      </w:r>
    </w:p>
    <w:p>
      <w:pPr>
        <w:rPr>
          <w:rFonts w:ascii="Arial" w:hAnsi="Arial" w:cs="Arial"/>
          <w:sz w:val="16"/>
          <w:szCs w:val="16"/>
          <w:lang w:val="en-US"/>
        </w:rPr>
      </w:pPr>
      <w:r>
        <w:rPr>
          <w:rFonts w:ascii="Arial" w:hAnsi="Arial" w:cs="Arial"/>
          <w:sz w:val="16"/>
          <w:szCs w:val="16"/>
          <w:lang w:val="en-US"/>
        </w:rPr>
        <w:t xml:space="preserve">4.7.2 To hand over to the Landlord or the Landlord’s agent on the last day of the tenancy all keys to the Property. Failure to do so entitles the Landlord to change security locks at the Tenant’s reasonable expense.</w:t>
      </w:r>
    </w:p>
    <w:p>
      <w:pPr>
        <w:rPr>
          <w:rFonts w:ascii="Arial" w:hAnsi="Arial" w:cs="Arial"/>
          <w:sz w:val="16"/>
          <w:szCs w:val="16"/>
          <w:lang w:val="en-US"/>
        </w:rPr>
      </w:pPr>
      <w:r>
        <w:rPr>
          <w:rFonts w:ascii="Arial" w:hAnsi="Arial" w:cs="Arial"/>
          <w:sz w:val="16"/>
          <w:szCs w:val="16"/>
          <w:lang w:val="en-US"/>
        </w:rPr>
        <w:t xml:space="preserve">4.7.3 If the Tenant’s belongings remain in the Property at the end of the tenancy and prevent re-letting, the Tenant shall pay reasonable damages. If the Tenant fails to remove goods in a reasonable time, the Landlord may remove and dispose of them at the Tenant’s expense.</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4.8 Landlord’s Costs</w:t>
      </w:r>
    </w:p>
    <w:p>
      <w:pPr>
        <w:rPr>
          <w:rFonts w:ascii="Arial" w:hAnsi="Arial" w:cs="Arial"/>
          <w:sz w:val="16"/>
          <w:szCs w:val="16"/>
          <w:lang w:val="en-US"/>
        </w:rPr>
      </w:pPr>
      <w:r>
        <w:rPr>
          <w:rFonts w:ascii="Arial" w:hAnsi="Arial" w:cs="Arial"/>
          <w:sz w:val="16"/>
          <w:szCs w:val="16"/>
          <w:lang w:val="en-US"/>
        </w:rPr>
        <w:t xml:space="preserve">4.8.1 To pay the Landlord’s reasonable and evidenced losses and costs directly caused by a proven breach of this Agreement by the Tenant, limited to losses that are recoverable at law and that the Landlord has taken reasonable steps to mitigate.</w:t>
      </w:r>
    </w:p>
    <w:p>
      <w:pPr>
        <w:rPr>
          <w:rFonts w:ascii="Arial" w:hAnsi="Arial" w:cs="Arial"/>
          <w:sz w:val="16"/>
          <w:szCs w:val="16"/>
          <w:lang w:val="en-US"/>
        </w:rPr>
      </w:pPr>
      <w:r>
        <w:rPr>
          <w:rFonts w:ascii="Arial" w:hAnsi="Arial" w:cs="Arial"/>
          <w:sz w:val="16"/>
          <w:szCs w:val="16"/>
          <w:lang w:val="en-US"/>
        </w:rPr>
        <w:t xml:space="preserve">4.8.2 To pay the Landlord’s reasonable and evidenced legal costs incurred in enforcing this Agreement against the Tenant, but only where a court or tribunal has awarded such costs or the Tenant has expressly agreed to pay them.</w:t>
      </w:r>
    </w:p>
    <w:p>
      <w:pPr>
        <w:rPr>
          <w:rFonts w:ascii="Arial" w:hAnsi="Arial" w:cs="Arial"/>
          <w:sz w:val="16"/>
          <w:szCs w:val="16"/>
          <w:lang w:val="en-US"/>
        </w:rPr>
      </w:pPr>
    </w:p>
    <w:p>
      <w:pPr>
        <w:pStyle w:val="Heading1"/>
        <w:rPr>
          <w:lang w:val="en-US"/>
        </w:rPr>
      </w:pPr>
      <w:r>
        <w:rPr>
          <w:lang w:val="en-US"/>
        </w:rPr>
        <w:t xml:space="preserve">5. RENT AND LATE PAYMENT</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5.1 Interest of 3% above the Bank of England base rate will be payable on any rent which is more than 14 days overdue. The interest will be payable from the date on which the rent fell due until the date it is paid.</w:t>
      </w:r>
    </w:p>
    <w:p>
      <w:pPr>
        <w:rPr>
          <w:rFonts w:ascii="Arial" w:hAnsi="Arial" w:cs="Arial"/>
          <w:sz w:val="16"/>
          <w:szCs w:val="16"/>
          <w:lang w:val="en-US"/>
        </w:rPr>
      </w:pPr>
      <w:r>
        <w:rPr>
          <w:rFonts w:ascii="Arial" w:hAnsi="Arial" w:cs="Arial"/>
          <w:sz w:val="16"/>
          <w:szCs w:val="16"/>
          <w:lang w:val="en-US"/>
        </w:rPr>
        <w:t xml:space="preserve">5.2 </w:t>
      </w:r>
      <w:r>
        <w:rPr>
          <w:rFonts w:ascii="Arial" w:hAnsi="Arial" w:cs="Arial"/>
          <w:b/>
          <w:sz w:val="16"/>
          <w:szCs w:val="16"/>
          <w:lang w:val="en-US"/>
        </w:rPr>
        <w:t xml:space="preserve">Rent Increases:</w:t>
      </w:r>
      <w:r>
        <w:rPr>
          <w:rFonts w:ascii="Arial" w:hAnsi="Arial" w:cs="Arial"/>
          <w:sz w:val="16"/>
          <w:szCs w:val="16"/>
          <w:lang w:val="en-US"/>
        </w:rPr>
        <w:t xml:space="preserve"> The rent may only be increased by the Landlord serving a valid notice under Section 13 of the Housing Act 1988 (as amended). Rent increases may not occur more frequently than once in any 12-month period. The Landlord must give at least 2 months’ written notice before any increase takes effect.</w:t>
      </w:r>
    </w:p>
    <w:p>
      <w:pPr>
        <w:rPr>
          <w:rFonts w:ascii="Arial" w:hAnsi="Arial" w:cs="Arial"/>
          <w:sz w:val="16"/>
          <w:szCs w:val="16"/>
          <w:lang w:val="en-US"/>
        </w:rPr>
      </w:pPr>
      <w:r>
        <w:rPr>
          <w:rFonts w:ascii="Arial" w:hAnsi="Arial" w:cs="Arial"/>
          <w:sz w:val="16"/>
          <w:szCs w:val="16"/>
          <w:lang w:val="en-US"/>
        </w:rPr>
        <w:t xml:space="preserve">5.3 The Tenant may challenge any proposed rent increase by referring the matter to the First-tier Tribunal (Property Chamber) within the period specified in the Section 13 notice.</w:t>
      </w:r>
    </w:p>
    <w:p>
      <w:pPr>
        <w:rPr>
          <w:rFonts w:ascii="Arial" w:hAnsi="Arial" w:cs="Arial"/>
          <w:sz w:val="16"/>
          <w:szCs w:val="16"/>
          <w:lang w:val="en-US"/>
        </w:rPr>
      </w:pPr>
      <w:r>
        <w:rPr>
          <w:rFonts w:ascii="Arial" w:hAnsi="Arial" w:cs="Arial"/>
          <w:sz w:val="16"/>
          <w:szCs w:val="16"/>
          <w:lang w:val="en-US"/>
        </w:rPr>
        <w:t xml:space="preserve">5.4 Any agreement purporting to allow rent increases outside the Section 13 procedure, or more frequently than once per 12 months, is void and of no effect.</w:t>
      </w:r>
    </w:p>
    <w:p>
      <w:pPr>
        <w:rPr>
          <w:rFonts w:ascii="Arial" w:hAnsi="Arial" w:cs="Arial"/>
          <w:sz w:val="16"/>
          <w:szCs w:val="16"/>
          <w:lang w:val="en-US"/>
        </w:rPr>
      </w:pPr>
    </w:p>
    <w:p>
      <w:pPr>
        <w:pStyle w:val="Heading1"/>
        <w:rPr>
          <w:lang w:val="en-US"/>
        </w:rPr>
      </w:pPr>
      <w:r>
        <w:rPr>
          <w:lang w:val="en-US"/>
        </w:rPr>
        <w:t xml:space="preserve">6. TERMINATION BY LANDLORD</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6.1 The Landlord may only seek to regain possession of the Property by serving notice citing one or more of the </w:t>
      </w:r>
      <w:r>
        <w:rPr>
          <w:rFonts w:ascii="Arial" w:hAnsi="Arial" w:cs="Arial"/>
          <w:b/>
          <w:sz w:val="16"/>
          <w:szCs w:val="16"/>
          <w:lang w:val="en-US"/>
        </w:rPr>
        <w:t xml:space="preserve">statutory grounds for possession</w:t>
      </w:r>
      <w:r>
        <w:rPr>
          <w:rFonts w:ascii="Arial" w:hAnsi="Arial" w:cs="Arial"/>
          <w:sz w:val="16"/>
          <w:szCs w:val="16"/>
          <w:lang w:val="en-US"/>
        </w:rPr>
        <w:t xml:space="preserve"> set out in Schedule 2 of the Housing Act 1988 (as amended by the Renters’ Rights Act 2025), and by obtaining a court order for possession.</w:t>
      </w:r>
    </w:p>
    <w:p>
      <w:pPr>
        <w:rPr>
          <w:rFonts w:ascii="Arial" w:hAnsi="Arial" w:cs="Arial"/>
          <w:sz w:val="16"/>
          <w:szCs w:val="16"/>
          <w:lang w:val="en-US"/>
        </w:rPr>
      </w:pPr>
      <w:r>
        <w:rPr>
          <w:rFonts w:ascii="Arial" w:hAnsi="Arial" w:cs="Arial"/>
          <w:sz w:val="16"/>
          <w:szCs w:val="16"/>
          <w:lang w:val="en-US"/>
        </w:rPr>
        <w:t xml:space="preserve">6.2 Section 21 of the Housing Act 1988 does not apply to this tenancy. No no-fault eviction is available to the Landlord.</w:t>
      </w:r>
    </w:p>
    <w:p>
      <w:pPr>
        <w:rPr>
          <w:rFonts w:ascii="Arial" w:hAnsi="Arial" w:cs="Arial"/>
          <w:sz w:val="16"/>
          <w:szCs w:val="16"/>
          <w:lang w:val="en-US"/>
        </w:rPr>
      </w:pPr>
      <w:r>
        <w:rPr>
          <w:rFonts w:ascii="Arial" w:hAnsi="Arial" w:cs="Arial"/>
          <w:sz w:val="16"/>
          <w:szCs w:val="16"/>
          <w:lang w:val="en-US"/>
        </w:rPr>
        <w:t xml:space="preserve">6.3 The Tenant cannot be removed without a court order, except by voluntary agreement.</w:t>
      </w:r>
    </w:p>
    <w:p>
      <w:pPr>
        <w:rPr>
          <w:rFonts w:ascii="Arial" w:hAnsi="Arial" w:cs="Arial"/>
          <w:sz w:val="16"/>
          <w:szCs w:val="16"/>
          <w:lang w:val="en-US"/>
        </w:rPr>
      </w:pPr>
      <w:r>
        <w:rPr>
          <w:rFonts w:ascii="Arial" w:hAnsi="Arial" w:cs="Arial"/>
          <w:sz w:val="16"/>
          <w:szCs w:val="16"/>
          <w:lang w:val="en-US"/>
        </w:rPr>
        <w:t xml:space="preserve">6.4 Any clause purporting to grant the Landlord a right of forfeiture, automatic termination, or eviction outside the Section 8 procedure is void and of no effect.</w:t>
      </w:r>
    </w:p>
    <w:p>
      <w:pPr>
        <w:rPr>
          <w:rFonts w:ascii="Arial" w:hAnsi="Arial" w:cs="Arial"/>
          <w:sz w:val="16"/>
          <w:szCs w:val="16"/>
          <w:lang w:val="en-US"/>
        </w:rPr>
      </w:pPr>
      <w:r>
        <w:rPr>
          <w:rFonts w:ascii="Arial" w:hAnsi="Arial" w:cs="Arial"/>
          <w:sz w:val="16"/>
          <w:szCs w:val="16"/>
          <w:lang w:val="en-US"/>
        </w:rPr>
        <w:t xml:space="preserve">6.5 All notices served by the Landlord must comply with the statutory requirements in force at the time of service, including prescribed form, notice periods and specified grounds.</w:t>
      </w:r>
    </w:p>
    <w:p>
      <w:pPr>
        <w:rPr>
          <w:rFonts w:ascii="Arial" w:hAnsi="Arial" w:cs="Arial"/>
          <w:sz w:val="16"/>
          <w:szCs w:val="16"/>
          <w:lang w:val="en-US"/>
        </w:rPr>
      </w:pPr>
    </w:p>
    <w:p>
      <w:pPr>
        <w:pStyle w:val="Heading1"/>
        <w:rPr>
          <w:lang w:val="en-US"/>
        </w:rPr>
      </w:pPr>
      <w:r>
        <w:rPr>
          <w:lang w:val="en-US"/>
        </w:rPr>
        <w:t xml:space="preserve">7. THE LANDLORD’S OBLIGATIONS</w:t>
      </w:r>
    </w:p>
    <w:p>
      <w:pPr>
        <w:rPr>
          <w:rFonts w:ascii="Arial" w:hAnsi="Arial" w:cs="Arial"/>
          <w:sz w:val="16"/>
          <w:szCs w:val="16"/>
          <w:lang w:val="en-US"/>
        </w:rPr>
      </w:pPr>
    </w:p>
    <w:p>
      <w:pPr>
        <w:keepNext/>
        <w:rPr>
          <w:rFonts w:ascii="Arial" w:hAnsi="Arial" w:cs="Arial"/>
          <w:sz w:val="16"/>
          <w:szCs w:val="16"/>
          <w:lang w:val="en-US"/>
        </w:rPr>
      </w:pPr>
      <w:r>
        <w:rPr>
          <w:rFonts w:ascii="Arial" w:hAnsi="Arial" w:cs="Arial"/>
          <w:b/>
          <w:sz w:val="16"/>
          <w:szCs w:val="16"/>
          <w:lang w:val="en-US"/>
        </w:rPr>
        <w:t xml:space="preserve">7.1 The Landlord agrees with the Tenant:</w:t>
      </w:r>
    </w:p>
    <w:p>
      <w:pPr>
        <w:rPr>
          <w:rFonts w:ascii="Arial" w:hAnsi="Arial" w:cs="Arial"/>
          <w:sz w:val="16"/>
          <w:szCs w:val="16"/>
          <w:lang w:val="en-US"/>
        </w:rPr>
      </w:pPr>
      <w:r>
        <w:rPr>
          <w:rFonts w:ascii="Arial" w:hAnsi="Arial" w:cs="Arial"/>
          <w:sz w:val="16"/>
          <w:szCs w:val="16"/>
          <w:lang w:val="en-US"/>
        </w:rPr>
        <w:t xml:space="preserve">7.1.1 That the Tenant may quietly possess and enjoy the Property during the tenancy without any interruption from the Landlord or any person claiming under or in trust for the Landlord.</w:t>
      </w:r>
    </w:p>
    <w:p>
      <w:pPr>
        <w:rPr>
          <w:rFonts w:ascii="Arial" w:hAnsi="Arial" w:cs="Arial"/>
          <w:sz w:val="16"/>
          <w:szCs w:val="16"/>
          <w:lang w:val="en-US"/>
        </w:rPr>
      </w:pPr>
      <w:r>
        <w:rPr>
          <w:rFonts w:ascii="Arial" w:hAnsi="Arial" w:cs="Arial"/>
          <w:sz w:val="16"/>
          <w:szCs w:val="16"/>
          <w:lang w:val="en-US"/>
        </w:rPr>
        <w:t xml:space="preserve">7.1.2 To return to the Tenant any Rent payable for any period during which the Property has been made uninhabitable through no fault of the Tenant.</w:t>
      </w:r>
    </w:p>
    <w:p>
      <w:pPr>
        <w:rPr>
          <w:rFonts w:ascii="Arial" w:hAnsi="Arial" w:cs="Arial"/>
          <w:sz w:val="16"/>
          <w:szCs w:val="16"/>
          <w:lang w:val="en-US"/>
        </w:rPr>
      </w:pPr>
      <w:r>
        <w:rPr>
          <w:rFonts w:ascii="Arial" w:hAnsi="Arial" w:cs="Arial"/>
          <w:sz w:val="16"/>
          <w:szCs w:val="16"/>
          <w:lang w:val="en-US"/>
        </w:rPr>
        <w:t xml:space="preserve">7.1.3 To repair the structure and exterior of the Property including drains, gutters and external pipes.</w:t>
      </w:r>
    </w:p>
    <w:p>
      <w:pPr>
        <w:rPr>
          <w:rFonts w:ascii="Arial" w:hAnsi="Arial" w:cs="Arial"/>
          <w:sz w:val="16"/>
          <w:szCs w:val="16"/>
          <w:lang w:val="en-US"/>
        </w:rPr>
      </w:pPr>
      <w:r>
        <w:rPr>
          <w:rFonts w:ascii="Arial" w:hAnsi="Arial" w:cs="Arial"/>
          <w:sz w:val="16"/>
          <w:szCs w:val="16"/>
          <w:lang w:val="en-US"/>
        </w:rPr>
        <w:t xml:space="preserve">7.1.4 To repair and maintain in working order all installations for the supply of water, gas and electricity, all sanitary apparatus, and any central heating and hot water systems.</w:t>
      </w:r>
    </w:p>
    <w:p>
      <w:pPr>
        <w:rPr>
          <w:rFonts w:ascii="Arial" w:hAnsi="Arial" w:cs="Arial"/>
          <w:sz w:val="16"/>
          <w:szCs w:val="16"/>
          <w:lang w:val="en-US"/>
        </w:rPr>
      </w:pPr>
      <w:r>
        <w:rPr>
          <w:rFonts w:ascii="Arial" w:hAnsi="Arial" w:cs="Arial"/>
          <w:sz w:val="16"/>
          <w:szCs w:val="16"/>
          <w:lang w:val="en-US"/>
        </w:rPr>
        <w:t xml:space="preserve">7.1.5 To comply with obligations under the Smoke and Carbon Monoxide Alarm (England) Regulations 2015 (as amended), including providing and maintaining working alarms.</w:t>
      </w:r>
    </w:p>
    <w:p>
      <w:pPr>
        <w:rPr>
          <w:rFonts w:ascii="Arial" w:hAnsi="Arial" w:cs="Arial"/>
          <w:sz w:val="16"/>
          <w:szCs w:val="16"/>
          <w:lang w:val="en-US"/>
        </w:rPr>
      </w:pPr>
      <w:r>
        <w:rPr>
          <w:rFonts w:ascii="Arial" w:hAnsi="Arial" w:cs="Arial"/>
          <w:sz w:val="16"/>
          <w:szCs w:val="16"/>
          <w:lang w:val="en-US"/>
        </w:rPr>
        <w:t xml:space="preserve">7.1.6 That the Tenant is not required to repair damage where the Landlord can claim the cost under an insurance policy, provided the Tenant’s acts or default did not cause the Landlord to lose the insurance proceeds.</w:t>
      </w:r>
    </w:p>
    <w:p>
      <w:pPr>
        <w:rPr>
          <w:rFonts w:ascii="Arial" w:hAnsi="Arial" w:cs="Arial"/>
          <w:sz w:val="16"/>
          <w:szCs w:val="16"/>
          <w:lang w:val="en-US"/>
        </w:rPr>
      </w:pPr>
      <w:r>
        <w:rPr>
          <w:rFonts w:ascii="Arial" w:hAnsi="Arial" w:cs="Arial"/>
          <w:sz w:val="16"/>
          <w:szCs w:val="16"/>
          <w:lang w:val="en-US"/>
        </w:rPr>
        <w:t xml:space="preserve">7.1.7 </w:t>
      </w:r>
      <w:r>
        <w:rPr>
          <w:rFonts w:ascii="Arial" w:hAnsi="Arial" w:cs="Arial"/>
          <w:b/>
          <w:sz w:val="16"/>
          <w:szCs w:val="16"/>
          <w:lang w:val="en-US"/>
        </w:rPr>
        <w:t xml:space="preserve">Damp, Mould and Property Condition:</w:t>
      </w:r>
      <w:r>
        <w:rPr>
          <w:rFonts w:ascii="Arial" w:hAnsi="Arial" w:cs="Arial"/>
          <w:sz w:val="16"/>
          <w:szCs w:val="16"/>
          <w:lang w:val="en-US"/>
        </w:rPr>
        <w:t xml:space="preserve"> To investigate and remedy promptly any report of damp, mould, condensation or other hazard at the Property. To keep the Property fit for human habitation throughout the tenancy in accordance with the Homes (Fitness for Human Habitation) Act 2018. Not to require the Tenant to carry out works that are the Landlord’s legal responsibility. The Landlord notes that extended timeframe obligations under Awaab’s Law and the Decent Homes Standard for the private rented sector are expected to be introduced in a later phase of the Renters’ Rights Act 2025 and undertakes to comply when they come into force.</w:t>
      </w:r>
    </w:p>
    <w:p>
      <w:pPr>
        <w:rPr>
          <w:rFonts w:ascii="Arial" w:hAnsi="Arial" w:cs="Arial"/>
          <w:sz w:val="16"/>
          <w:szCs w:val="16"/>
          <w:lang w:val="en-US"/>
        </w:rPr>
      </w:pPr>
      <w:r>
        <w:rPr>
          <w:rFonts w:ascii="Arial" w:hAnsi="Arial" w:cs="Arial"/>
          <w:sz w:val="16"/>
          <w:szCs w:val="16"/>
          <w:lang w:val="en-US"/>
        </w:rPr>
        <w:t xml:space="preserve">7.1.8 </w:t>
      </w:r>
      <w:r>
        <w:rPr>
          <w:rFonts w:ascii="Arial" w:hAnsi="Arial" w:cs="Arial"/>
          <w:b/>
          <w:sz w:val="16"/>
          <w:szCs w:val="16"/>
          <w:lang w:val="en-US"/>
        </w:rPr>
        <w:t xml:space="preserve">PRS Database and Ombudsman (future obligation):</w:t>
      </w:r>
      <w:r>
        <w:rPr>
          <w:rFonts w:ascii="Arial" w:hAnsi="Arial" w:cs="Arial"/>
          <w:sz w:val="16"/>
          <w:szCs w:val="16"/>
          <w:lang w:val="en-US"/>
        </w:rPr>
        <w:t xml:space="preserve"> The Government’s Private Rented Sector Database and PRS Landlord Ombudsman scheme are being introduced in Phase 2 of the Renters’ Rights Act 2025 implementation (expected from late 2026). When those requirements come into force, the Landlord undertakes to register with the PRS Database and join a recognised Ombudsman scheme promptly and to provide the Tenant with the relevant registration details.</w:t>
      </w:r>
    </w:p>
    <w:p>
      <w:pPr>
        <w:rPr>
          <w:rFonts w:ascii="Arial" w:hAnsi="Arial" w:cs="Arial"/>
          <w:sz w:val="16"/>
          <w:szCs w:val="16"/>
          <w:lang w:val="en-US"/>
        </w:rPr>
      </w:pPr>
    </w:p>
    <w:p>
      <w:pPr>
        <w:pStyle w:val="Heading1"/>
        <w:rPr>
          <w:lang w:val="en-US"/>
        </w:rPr>
      </w:pPr>
      <w:r>
        <w:rPr>
          <w:lang w:val="en-US"/>
        </w:rPr>
        <w:t xml:space="preserve">8. TERMINATION</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8.1 The Tenant may end this tenancy by giving at least </w:t>
      </w:r>
      <w:r>
        <w:rPr>
          <w:rFonts w:ascii="Arial" w:hAnsi="Arial" w:cs="Arial"/>
          <w:b/>
          <w:sz w:val="16"/>
          <w:szCs w:val="16"/>
          <w:lang w:val="en-US"/>
        </w:rPr>
        <w:t xml:space="preserve">two (2) months’ written notice</w:t>
      </w:r>
      <w:r>
        <w:rPr>
          <w:rFonts w:ascii="Arial" w:hAnsi="Arial" w:cs="Arial"/>
          <w:sz w:val="16"/>
          <w:szCs w:val="16"/>
          <w:lang w:val="en-US"/>
        </w:rPr>
        <w:t xml:space="preserve"> to the Landlord. The notice must expire on the last day of a period of the tenancy (i.e. the day before the rent due date). Where the Tenant is uncertain of the correct expiry date, the Landlord will confirm it upon request.</w:t>
      </w:r>
    </w:p>
    <w:p>
      <w:pPr>
        <w:rPr>
          <w:rFonts w:ascii="Arial" w:hAnsi="Arial" w:cs="Arial"/>
          <w:sz w:val="16"/>
          <w:szCs w:val="16"/>
          <w:lang w:val="en-US"/>
        </w:rPr>
      </w:pPr>
      <w:r>
        <w:rPr>
          <w:rFonts w:ascii="Arial" w:hAnsi="Arial" w:cs="Arial"/>
          <w:sz w:val="16"/>
          <w:szCs w:val="16"/>
          <w:lang w:val="en-US"/>
        </w:rPr>
        <w:t xml:space="preserve">8.2 The Landlord may only end this tenancy by serving notice in accordance with the statutory grounds for possession set out in Schedule 2 of the Housing Act 1988 (as amended), and obtaining a court order for possession.</w:t>
      </w:r>
    </w:p>
    <w:p>
      <w:pPr>
        <w:rPr>
          <w:rFonts w:ascii="Arial" w:hAnsi="Arial" w:cs="Arial"/>
          <w:sz w:val="16"/>
          <w:szCs w:val="16"/>
          <w:lang w:val="en-US"/>
        </w:rPr>
      </w:pPr>
      <w:r>
        <w:rPr>
          <w:rFonts w:ascii="Arial" w:hAnsi="Arial" w:cs="Arial"/>
          <w:sz w:val="16"/>
          <w:szCs w:val="16"/>
          <w:lang w:val="en-US"/>
        </w:rPr>
        <w:t xml:space="preserve">8.3 All notices must comply with the statutory requirements in force at the time of service.</w:t>
      </w:r>
    </w:p>
    <w:p>
      <w:pPr>
        <w:rPr>
          <w:rFonts w:ascii="Arial" w:hAnsi="Arial" w:cs="Arial"/>
          <w:sz w:val="16"/>
          <w:szCs w:val="16"/>
          <w:lang w:val="en-US"/>
        </w:rPr>
      </w:pPr>
    </w:p>
    <w:p>
      <w:pPr>
        <w:pStyle w:val="Heading1"/>
        <w:rPr>
          <w:lang w:val="en-US"/>
        </w:rPr>
      </w:pPr>
      <w:r>
        <w:rPr>
          <w:lang w:val="en-US"/>
        </w:rPr>
        <w:t xml:space="preserve">9. SAFETY REQUIREMENTS</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The Landlord confirms that, prior to or at the commencement of the tenancy, the following have been provided to the Tenant:</w:t>
      </w:r>
    </w:p>
    <w:p>
      <w:pPr>
        <w:rPr>
          <w:rFonts w:ascii="Arial" w:hAnsi="Arial" w:cs="Arial"/>
          <w:sz w:val="16"/>
          <w:szCs w:val="16"/>
          <w:lang w:val="en-US"/>
        </w:rPr>
      </w:pPr>
      <w:r>
        <w:rPr>
          <w:rFonts w:ascii="Arial" w:hAnsi="Arial" w:cs="Arial"/>
          <w:sz w:val="16"/>
          <w:szCs w:val="16"/>
          <w:lang w:val="en-US"/>
        </w:rPr>
        <w:t xml:space="preserve">9.1 A valid Gas Safety Certificate (CP12) – if gas is present at the Property.</w:t>
      </w:r>
    </w:p>
    <w:p>
      <w:pPr>
        <w:rPr>
          <w:rFonts w:ascii="Arial" w:hAnsi="Arial" w:cs="Arial"/>
          <w:sz w:val="16"/>
          <w:szCs w:val="16"/>
          <w:lang w:val="en-US"/>
        </w:rPr>
      </w:pPr>
      <w:r>
        <w:rPr>
          <w:rFonts w:ascii="Arial" w:hAnsi="Arial" w:cs="Arial"/>
          <w:sz w:val="16"/>
          <w:szCs w:val="16"/>
          <w:lang w:val="en-US"/>
        </w:rPr>
        <w:t xml:space="preserve">9.2 An Electrical Installation Condition Report (EICR).</w:t>
      </w:r>
    </w:p>
    <w:p>
      <w:pPr>
        <w:rPr>
          <w:rFonts w:ascii="Arial" w:hAnsi="Arial" w:cs="Arial"/>
          <w:sz w:val="16"/>
          <w:szCs w:val="16"/>
          <w:lang w:val="en-US"/>
        </w:rPr>
      </w:pPr>
      <w:r>
        <w:rPr>
          <w:rFonts w:ascii="Arial" w:hAnsi="Arial" w:cs="Arial"/>
          <w:sz w:val="16"/>
          <w:szCs w:val="16"/>
          <w:lang w:val="en-US"/>
        </w:rPr>
        <w:t xml:space="preserve">9.3 A current Energy Performance Certificate (EPC) – Rating: &lt;&lt;   &gt;&gt;, dated &lt;&lt;   &gt;&gt;.</w:t>
      </w:r>
    </w:p>
    <w:p>
      <w:pPr>
        <w:rPr>
          <w:rFonts w:ascii="Arial" w:hAnsi="Arial" w:cs="Arial"/>
          <w:sz w:val="16"/>
          <w:szCs w:val="16"/>
          <w:lang w:val="en-US"/>
        </w:rPr>
      </w:pPr>
      <w:r>
        <w:rPr>
          <w:rFonts w:ascii="Arial" w:hAnsi="Arial" w:cs="Arial"/>
          <w:sz w:val="16"/>
          <w:szCs w:val="16"/>
          <w:lang w:val="en-US"/>
        </w:rPr>
        <w:t xml:space="preserve">9.4 Smoke alarms installed on each storey and carbon monoxide alarms in all rooms with a solid fuel burning appliance.</w:t>
      </w:r>
    </w:p>
    <w:p>
      <w:pPr>
        <w:rPr>
          <w:rFonts w:ascii="Arial" w:hAnsi="Arial" w:cs="Arial"/>
          <w:sz w:val="16"/>
          <w:szCs w:val="16"/>
          <w:lang w:val="en-US"/>
        </w:rPr>
      </w:pPr>
      <w:r>
        <w:rPr>
          <w:rFonts w:ascii="Arial" w:hAnsi="Arial" w:cs="Arial"/>
          <w:sz w:val="16"/>
          <w:szCs w:val="16"/>
          <w:lang w:val="en-US"/>
        </w:rPr>
        <w:t xml:space="preserve">9.5 The Government’s ‘How to Rent’ guide (current version), provided as supplementary guidance. The primary compliance document for tenancies granted on or after 1 May 2026 is the written information provided in the Key Information Schedule above, together with any information sheet issued by the Government under the Renters’ Rights Act 2025.</w:t>
      </w:r>
    </w:p>
    <w:p>
      <w:pPr>
        <w:rPr>
          <w:rFonts w:ascii="Arial" w:hAnsi="Arial" w:cs="Arial"/>
          <w:sz w:val="16"/>
          <w:szCs w:val="16"/>
          <w:lang w:val="en-US"/>
        </w:rPr>
      </w:pPr>
    </w:p>
    <w:p>
      <w:pPr>
        <w:pStyle w:val="Heading1"/>
        <w:rPr>
          <w:lang w:val="en-US"/>
        </w:rPr>
      </w:pPr>
      <w:r>
        <w:rPr>
          <w:lang w:val="en-US"/>
        </w:rPr>
        <w:t xml:space="preserve">10. SPECIAL TERMS AND CONDITIONS</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&lt;&lt;   &gt;&gt;</w:t>
      </w:r>
    </w:p>
    <w:p>
      <w:pPr>
        <w:rPr>
          <w:rFonts w:ascii="Arial" w:hAnsi="Arial" w:cs="Arial"/>
          <w:sz w:val="16"/>
          <w:szCs w:val="16"/>
          <w:lang w:val="en-US"/>
        </w:rPr>
      </w:pPr>
      <w:r>
        <w:rPr>
          <w:rFonts w:ascii="Arial" w:hAnsi="Arial" w:cs="Arial"/>
          <w:sz w:val="16"/>
          <w:szCs w:val="16"/>
          <w:lang w:val="en-US"/>
        </w:rPr>
        <w:t xml:space="preserve">&lt;&lt;   &gt;&gt;</w:t>
      </w:r>
    </w:p>
    <w:p>
      <w:pPr>
        <w:rPr>
          <w:rFonts w:ascii="Arial" w:hAnsi="Arial" w:cs="Arial"/>
          <w:sz w:val="16"/>
          <w:szCs w:val="16"/>
          <w:lang w:val="en-US"/>
        </w:rPr>
      </w:pPr>
      <w:r>
        <w:rPr>
          <w:rFonts w:ascii="Arial" w:hAnsi="Arial" w:cs="Arial"/>
          <w:sz w:val="16"/>
          <w:szCs w:val="16"/>
          <w:lang w:val="en-US"/>
        </w:rPr>
        <w:t xml:space="preserve">&lt;&lt;   &gt;&gt;</w:t>
      </w:r>
    </w:p>
    <w:p>
      <w:pPr>
        <w:rPr>
          <w:rFonts w:ascii="Arial" w:hAnsi="Arial" w:cs="Arial"/>
          <w:sz w:val="16"/>
          <w:szCs w:val="16"/>
          <w:lang w:val="en-US"/>
        </w:rPr>
      </w:pPr>
    </w:p>
    <w:p>
      <w:pPr>
        <w:pStyle w:val="Heading1"/>
        <w:rPr>
          <w:lang w:val="en-US"/>
        </w:rPr>
      </w:pPr>
      <w:r>
        <w:rPr>
          <w:lang w:val="en-US"/>
        </w:rPr>
        <w:t xml:space="preserve">11. SPECIAL CLAUSES</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&lt;&lt;   &gt;&gt;</w:t>
      </w:r>
    </w:p>
    <w:p>
      <w:pPr>
        <w:rPr>
          <w:rFonts w:ascii="Arial" w:hAnsi="Arial" w:cs="Arial"/>
          <w:sz w:val="16"/>
          <w:szCs w:val="16"/>
          <w:lang w:val="en-US"/>
        </w:rPr>
      </w:pPr>
      <w:r>
        <w:rPr>
          <w:rFonts w:ascii="Arial" w:hAnsi="Arial" w:cs="Arial"/>
          <w:sz w:val="16"/>
          <w:szCs w:val="16"/>
          <w:lang w:val="en-US"/>
        </w:rPr>
        <w:t xml:space="preserve">&lt;&lt;   &gt;&gt;</w:t>
      </w:r>
    </w:p>
    <w:p>
      <w:pPr>
        <w:rPr>
          <w:rFonts w:ascii="Arial" w:hAnsi="Arial" w:cs="Arial"/>
          <w:sz w:val="16"/>
          <w:szCs w:val="16"/>
          <w:lang w:val="en-US"/>
        </w:rPr>
      </w:pPr>
      <w:r>
        <w:rPr>
          <w:rFonts w:ascii="Arial" w:hAnsi="Arial" w:cs="Arial"/>
          <w:sz w:val="16"/>
          <w:szCs w:val="16"/>
          <w:lang w:val="en-US"/>
        </w:rPr>
        <w:t xml:space="preserve">&lt;&lt;   &gt;&gt;</w:t>
      </w:r>
    </w:p>
    <w:p>
      <w:pPr>
        <w:rPr>
          <w:rFonts w:ascii="Arial" w:hAnsi="Arial" w:cs="Arial"/>
          <w:sz w:val="16"/>
          <w:szCs w:val="16"/>
          <w:lang w:val="en-US"/>
        </w:rPr>
      </w:pPr>
    </w:p>
    <w:p>
      <w:pPr>
        <w:pStyle w:val="Heading1"/>
        <w:rPr>
          <w:lang w:val="en-US"/>
        </w:rPr>
      </w:pPr>
      <w:r>
        <w:rPr>
          <w:lang w:val="en-US"/>
        </w:rPr>
        <w:t xml:space="preserve">12. NOTICES</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12.1 Notices may be served in writing to the Landlord at the address given at the head of this Agreement, or by email at &lt;&lt;   &gt;&gt;.</w:t>
      </w:r>
    </w:p>
    <w:p>
      <w:pPr>
        <w:rPr>
          <w:rFonts w:ascii="Arial" w:hAnsi="Arial" w:cs="Arial"/>
          <w:sz w:val="16"/>
          <w:szCs w:val="16"/>
          <w:lang w:val="en-US"/>
        </w:rPr>
      </w:pPr>
      <w:r>
        <w:rPr>
          <w:rFonts w:ascii="Arial" w:hAnsi="Arial" w:cs="Arial"/>
          <w:sz w:val="16"/>
          <w:szCs w:val="16"/>
          <w:lang w:val="en-US"/>
        </w:rPr>
        <w:t xml:space="preserve">12.2 Notices may be served on the Tenant at the Property address or by email where previously agreed.</w:t>
      </w:r>
    </w:p>
    <w:p>
      <w:pPr>
        <w:rPr>
          <w:rFonts w:ascii="Arial" w:hAnsi="Arial" w:cs="Arial"/>
          <w:sz w:val="16"/>
          <w:szCs w:val="16"/>
          <w:lang w:val="en-US"/>
        </w:rPr>
      </w:pPr>
      <w:r>
        <w:rPr>
          <w:rFonts w:ascii="Arial" w:hAnsi="Arial" w:cs="Arial"/>
          <w:sz w:val="16"/>
          <w:szCs w:val="16"/>
          <w:lang w:val="en-US"/>
        </w:rPr>
        <w:t xml:space="preserve">12.3 Notices sent by first class post shall be deemed served on the second working day after posting. Notices sent by email shall be deemed served on the next working day after sending, unless an automated delivery failure notice is received.</w:t>
      </w:r>
    </w:p>
    <w:p>
      <w:pPr>
        <w:rPr>
          <w:rFonts w:ascii="Arial" w:hAnsi="Arial" w:cs="Arial"/>
          <w:sz w:val="16"/>
          <w:szCs w:val="16"/>
          <w:lang w:val="en-US"/>
        </w:rPr>
      </w:pPr>
    </w:p>
    <w:p>
      <w:pPr>
        <w:pStyle w:val="Heading1"/>
        <w:rPr>
          <w:lang w:val="en-US"/>
        </w:rPr>
      </w:pPr>
      <w:r>
        <w:rPr>
          <w:lang w:val="en-US"/>
        </w:rPr>
        <w:t xml:space="preserve">13. DATA PROTECTION</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13.1 The Landlord and their agent will process the Tenant’s personal data for the purposes of managing the tenancy in accordance with the UK General Data Protection Regulation (UK GDPR) and the Data Protection Act 2018. Personal data may be shared where necessary with authorised third parties such as utility companies, referencing agencies, deposit schemes, local authorities, courts or legal representatives.</w:t>
      </w:r>
    </w:p>
    <w:p>
      <w:pPr>
        <w:rPr>
          <w:rFonts w:ascii="Arial" w:hAnsi="Arial" w:cs="Arial"/>
          <w:sz w:val="16"/>
          <w:szCs w:val="16"/>
          <w:lang w:val="en-US"/>
        </w:rPr>
      </w:pPr>
    </w:p>
    <w:p>
      <w:pPr>
        <w:pStyle w:val="Heading1"/>
        <w:rPr>
          <w:lang w:val="en-US"/>
        </w:rPr>
      </w:pPr>
      <w:r>
        <w:rPr>
          <w:lang w:val="en-US"/>
        </w:rPr>
        <w:t xml:space="preserve">14. SEVERABILITY</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14.1 If there is a conflict between any provision of this Agreement and applicable legislation, the legislation will prevail and such provisions of the Agreement will be amended or deleted as necessary. All provisions required by applicable legislation are incorporated into this Agreement.</w:t>
      </w:r>
    </w:p>
    <w:p>
      <w:pPr>
        <w:rPr>
          <w:rFonts w:ascii="Arial" w:hAnsi="Arial" w:cs="Arial"/>
          <w:sz w:val="16"/>
          <w:szCs w:val="16"/>
          <w:lang w:val="en-US"/>
        </w:rPr>
      </w:pPr>
      <w:r>
        <w:rPr>
          <w:rFonts w:ascii="Arial" w:hAnsi="Arial" w:cs="Arial"/>
          <w:sz w:val="16"/>
          <w:szCs w:val="16"/>
          <w:lang w:val="en-US"/>
        </w:rPr>
        <w:t xml:space="preserve">14.2 The invalidity or unenforceability of any provision of this Agreement will not affect the validity or enforceability of any other provision. Such other provisions remain in full force and effect.</w:t>
      </w:r>
    </w:p>
    <w:p>
      <w:pPr>
        <w:rPr>
          <w:rFonts w:ascii="Arial" w:hAnsi="Arial" w:cs="Arial"/>
          <w:sz w:val="16"/>
          <w:szCs w:val="16"/>
          <w:lang w:val="en-US"/>
        </w:rPr>
      </w:pPr>
    </w:p>
    <w:p>
      <w:pPr>
        <w:pStyle w:val="Heading1"/>
        <w:rPr>
          <w:lang w:val="en-US"/>
        </w:rPr>
      </w:pPr>
      <w:r>
        <w:rPr>
          <w:lang w:val="en-US"/>
        </w:rPr>
        <w:t xml:space="preserve">15. ASSIGNMENT AND SUBLETTING</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15.1 The Tenant will not assign this Agreement, or sublet or grant any concession or licence to use the Property or any part of it without the prior written consent of the Landlord. Any purported assignment or subletting without such consent will be void and of no effect. The Landlord may seek possession on the appropriate statutory ground under Schedule 2 of the Housing Act 1988 (as amended) where a breach of this clause has occurred.</w:t>
      </w:r>
    </w:p>
    <w:p>
      <w:pPr>
        <w:rPr>
          <w:rFonts w:ascii="Arial" w:hAnsi="Arial" w:cs="Arial"/>
          <w:sz w:val="16"/>
          <w:szCs w:val="16"/>
          <w:lang w:val="en-US"/>
        </w:rPr>
      </w:pPr>
    </w:p>
    <w:p>
      <w:pPr>
        <w:pStyle w:val="Heading1"/>
        <w:rPr>
          <w:lang w:val="en-US"/>
        </w:rPr>
      </w:pPr>
      <w:r>
        <w:rPr>
          <w:lang w:val="en-US"/>
        </w:rPr>
        <w:t xml:space="preserve">16. LANDLORD COMPLIANCE</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16.1 The PRS Database and PRS Landlord Ombudsman requirements are introduced under Phase 2 of the Renters’ Rights Act 2025 (expected from late 2026). The Landlord undertakes to comply with those requirements when they come into force. This clause will be updated accordingly at that time.</w:t>
      </w:r>
    </w:p>
    <w:p>
      <w:pPr>
        <w:rPr>
          <w:rFonts w:ascii="Arial" w:hAnsi="Arial" w:cs="Arial"/>
          <w:sz w:val="16"/>
          <w:szCs w:val="16"/>
          <w:lang w:val="en-US"/>
        </w:rPr>
      </w:pPr>
    </w:p>
    <w:p>
      <w:pPr>
        <w:pStyle w:val="Heading1"/>
        <w:rPr>
          <w:lang w:val="en-US"/>
        </w:rPr>
      </w:pPr>
      <w:r>
        <w:rPr>
          <w:lang w:val="en-US"/>
        </w:rPr>
        <w:t xml:space="preserve">17. GENERAL PROVISIONS</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17.1 Any waiver by the Landlord of any failure by the Tenant to perform or observe the provisions of this Agreement will not operate as a waiver of the Landlord’s rights in respect of any subsequent default.</w:t>
      </w:r>
    </w:p>
    <w:p>
      <w:pPr>
        <w:rPr>
          <w:rFonts w:ascii="Arial" w:hAnsi="Arial" w:cs="Arial"/>
          <w:sz w:val="16"/>
          <w:szCs w:val="16"/>
          <w:lang w:val="en-US"/>
        </w:rPr>
      </w:pPr>
      <w:r>
        <w:rPr>
          <w:rFonts w:ascii="Arial" w:hAnsi="Arial" w:cs="Arial"/>
          <w:sz w:val="16"/>
          <w:szCs w:val="16"/>
          <w:lang w:val="en-US"/>
        </w:rPr>
        <w:t xml:space="preserve">17.2 This Agreement will extend to and be binding upon the respective heirs, executors, administrators, successors and assignees of each Party.</w:t>
      </w:r>
    </w:p>
    <w:p>
      <w:pPr>
        <w:rPr>
          <w:rFonts w:ascii="Arial" w:hAnsi="Arial" w:cs="Arial"/>
          <w:sz w:val="16"/>
          <w:szCs w:val="16"/>
          <w:lang w:val="en-US"/>
        </w:rPr>
      </w:pPr>
      <w:r>
        <w:rPr>
          <w:rFonts w:ascii="Arial" w:hAnsi="Arial" w:cs="Arial"/>
          <w:sz w:val="16"/>
          <w:szCs w:val="16"/>
          <w:lang w:val="en-US"/>
        </w:rPr>
        <w:t xml:space="preserve">17.3 Any sums properly due to the Landlord from the Tenant under this Agreement (other than rent) shall be recoverable as a debt. Nothing in this clause shall be construed as reclassifying damages, costs or other sums as rent for any statutory or procedural purpose.</w:t>
      </w:r>
    </w:p>
    <w:p>
      <w:pPr>
        <w:rPr>
          <w:rFonts w:ascii="Arial" w:hAnsi="Arial" w:cs="Arial"/>
          <w:sz w:val="16"/>
          <w:szCs w:val="16"/>
          <w:lang w:val="en-US"/>
        </w:rPr>
      </w:pPr>
      <w:r>
        <w:rPr>
          <w:rFonts w:ascii="Arial" w:hAnsi="Arial" w:cs="Arial"/>
          <w:sz w:val="16"/>
          <w:szCs w:val="16"/>
          <w:lang w:val="en-US"/>
        </w:rPr>
        <w:t xml:space="preserve">17.4 Where there is more than one Tenant executing this Agreement, all Tenants are jointly and severally liable for each other’s acts, omissions and liabilities pursuant to this Agreement.</w:t>
      </w:r>
    </w:p>
    <w:p>
      <w:pPr>
        <w:rPr>
          <w:rFonts w:ascii="Arial" w:hAnsi="Arial" w:cs="Arial"/>
          <w:sz w:val="16"/>
          <w:szCs w:val="16"/>
          <w:lang w:val="en-US"/>
        </w:rPr>
      </w:pPr>
      <w:r>
        <w:rPr>
          <w:rFonts w:ascii="Arial" w:hAnsi="Arial" w:cs="Arial"/>
          <w:sz w:val="16"/>
          <w:szCs w:val="16"/>
          <w:lang w:val="en-US"/>
        </w:rPr>
        <w:t xml:space="preserve">17.5 Locks may not be added or changed without the prior written agreement of both Parties, or unless the changes are made in compliance with applicable legislation.</w:t>
      </w:r>
    </w:p>
    <w:p>
      <w:pPr>
        <w:rPr>
          <w:rFonts w:ascii="Arial" w:hAnsi="Arial" w:cs="Arial"/>
          <w:sz w:val="16"/>
          <w:szCs w:val="16"/>
          <w:lang w:val="en-US"/>
        </w:rPr>
      </w:pPr>
      <w:r>
        <w:rPr>
          <w:rFonts w:ascii="Arial" w:hAnsi="Arial" w:cs="Arial"/>
          <w:sz w:val="16"/>
          <w:szCs w:val="16"/>
          <w:lang w:val="en-US"/>
        </w:rPr>
        <w:t xml:space="preserve">17.6 Headings are inserted for the convenience of the Parties only and are not to be considered when interpreting this Agreement. Words in the singular include the plural and vice versa. Words in the masculine include the feminine and vice versa.</w:t>
      </w:r>
    </w:p>
    <w:p>
      <w:pPr>
        <w:rPr>
          <w:rFonts w:ascii="Arial" w:hAnsi="Arial" w:cs="Arial"/>
          <w:sz w:val="16"/>
          <w:szCs w:val="16"/>
          <w:lang w:val="en-US"/>
        </w:rPr>
      </w:pPr>
      <w:r>
        <w:rPr>
          <w:rFonts w:ascii="Arial" w:hAnsi="Arial" w:cs="Arial"/>
          <w:sz w:val="16"/>
          <w:szCs w:val="16"/>
          <w:lang w:val="en-US"/>
        </w:rPr>
        <w:t xml:space="preserve">17.7 The processing of personal data is dealt with at clause 13 (Data Protection) above.</w:t>
      </w:r>
    </w:p>
    <w:p>
      <w:pPr>
        <w:rPr>
          <w:rFonts w:ascii="Arial" w:hAnsi="Arial" w:cs="Arial"/>
          <w:sz w:val="16"/>
          <w:szCs w:val="16"/>
          <w:lang w:val="en-US"/>
        </w:rPr>
      </w:pPr>
    </w:p>
    <w:p>
      <w:pPr>
        <w:pStyle w:val="Heading1"/>
        <w:rPr>
          <w:lang w:val="en-US"/>
        </w:rPr>
      </w:pPr>
      <w:r>
        <w:rPr>
          <w:lang w:val="en-US"/>
        </w:rPr>
        <w:t xml:space="preserve">18. JURISDICTION</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This Agreement will be construed in accordance with and governed by the laws of England and the Parties submit to the exclusive jurisdiction of the English Courts.</w:t>
      </w:r>
    </w:p>
    <w:p>
      <w:pPr>
        <w:rPr>
          <w:rFonts w:ascii="Arial" w:hAnsi="Arial" w:cs="Arial"/>
          <w:sz w:val="16"/>
          <w:szCs w:val="16"/>
          <w:lang w:val="en-US"/>
        </w:rPr>
      </w:pP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Dated the &lt;&lt;   &gt;&gt; day of &lt;&lt;   &gt;&gt; 20 &lt;&lt;   &gt;&gt;</w:t>
      </w:r>
    </w:p>
    <w:p>
      <w:pPr>
        <w:rPr>
          <w:rFonts w:ascii="Arial" w:hAnsi="Arial" w:cs="Arial"/>
          <w:sz w:val="16"/>
          <w:szCs w:val="16"/>
          <w:lang w:val="en-US"/>
        </w:rPr>
      </w:pP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SIGNED by</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&lt;&lt;Name of Landlord&gt;&gt;</w:t>
      </w:r>
    </w:p>
    <w:p>
      <w:pPr>
        <w:rPr>
          <w:rFonts w:ascii="Arial" w:hAnsi="Arial" w:cs="Arial"/>
          <w:sz w:val="16"/>
          <w:szCs w:val="16"/>
          <w:lang w:val="en-US"/>
        </w:rPr>
      </w:pPr>
      <w:r>
        <w:rPr>
          <w:rFonts w:ascii="Arial" w:hAnsi="Arial" w:cs="Arial"/>
          <w:sz w:val="16"/>
          <w:szCs w:val="16"/>
          <w:lang w:val="en-US"/>
        </w:rPr>
        <w:t xml:space="preserve">Landlord</w:t>
      </w:r>
    </w:p>
    <w:p>
      <w:pPr>
        <w:rPr>
          <w:rFonts w:ascii="Arial" w:hAnsi="Arial" w:cs="Arial"/>
          <w:sz w:val="16"/>
          <w:szCs w:val="16"/>
          <w:lang w:val="en-US"/>
        </w:rPr>
      </w:pP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SIGNED by</w:t>
      </w: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&lt;&lt;Name of Tenant(s)&gt;&gt;</w:t>
      </w:r>
    </w:p>
    <w:p>
      <w:pPr>
        <w:rPr>
          <w:rFonts w:ascii="Arial" w:hAnsi="Arial" w:cs="Arial"/>
          <w:sz w:val="16"/>
          <w:szCs w:val="16"/>
          <w:lang w:val="en-US"/>
        </w:rPr>
      </w:pPr>
      <w:r>
        <w:rPr>
          <w:rFonts w:ascii="Arial" w:hAnsi="Arial" w:cs="Arial"/>
          <w:sz w:val="16"/>
          <w:szCs w:val="16"/>
          <w:lang w:val="en-US"/>
        </w:rPr>
        <w:t xml:space="preserve">Tenant(s)</w:t>
      </w:r>
    </w:p>
    <w:p>
      <w:pPr>
        <w:rPr>
          <w:rFonts w:ascii="Arial" w:hAnsi="Arial" w:cs="Arial"/>
          <w:sz w:val="16"/>
          <w:szCs w:val="16"/>
          <w:lang w:val="en-US"/>
        </w:rPr>
      </w:pPr>
    </w:p>
    <w:p>
      <w:pPr>
        <w:rPr>
          <w:rFonts w:ascii="Arial" w:hAnsi="Arial" w:cs="Arial"/>
          <w:sz w:val="16"/>
          <w:szCs w:val="16"/>
          <w:lang w:val="en-US"/>
        </w:rPr>
      </w:pPr>
    </w:p>
    <w:p>
      <w:pPr>
        <w:rPr>
          <w:rFonts w:ascii="Arial" w:hAnsi="Arial" w:cs="Arial"/>
          <w:sz w:val="16"/>
          <w:szCs w:val="16"/>
          <w:lang w:val="en-US"/>
        </w:rPr>
      </w:pPr>
      <w:r>
        <w:rPr>
          <w:rFonts w:ascii="Arial" w:hAnsi="Arial" w:cs="Arial"/>
          <w:sz w:val="16"/>
          <w:szCs w:val="16"/>
          <w:lang w:val="en-US"/>
        </w:rPr>
        <w:t xml:space="preserve">The Tenant acknowledges receiving a duplicate copy of this Agreement signed by the Tenant and the Landlord on the __ day of ____, 20__.</w:t>
      </w:r>
    </w:p>
    <w:sectPr w:rsidR="005B54D4" w:rsidRPr="00FD7025" w:rsidSect="00256FFF">
      <w:footerReference w:type="default" r:id="rId7"/>
      <w:pgSz w:w="11906" w:h="16838"/>
      <w:pgMar w:top="993" w:right="1133" w:bottom="1560" w:left="1417" w:header="0" w:footer="1049"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DC2" w:rsidRDefault="00D95DC2">
      <w:r>
        <w:separator/>
      </w:r>
    </w:p>
  </w:endnote>
  <w:endnote w:type="continuationSeparator" w:id="0">
    <w:p w:rsidR="00D95DC2" w:rsidRDefault="00D9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4B0" w:rsidRPr="00D67E0D" w:rsidRDefault="00D67E0D">
    <w:pPr>
      <w:pStyle w:val="Footer"/>
      <w:tabs>
        <w:tab w:val="center" w:pos="4395"/>
        <w:tab w:val="right" w:pos="8789"/>
      </w:tabs>
      <w:ind w:right="283"/>
      <w:rPr>
        <w:rFonts w:ascii="Arial" w:hAnsi="Arial" w:cs="Arial"/>
        <w:sz w:val="12"/>
        <w:szCs w:val="12"/>
      </w:rPr>
    </w:pPr>
    <w:r w:rsidRPr="00D67E0D">
      <w:rPr>
        <w:rFonts w:ascii="Arial" w:hAnsi="Arial" w:cs="Arial"/>
        <w:sz w:val="12"/>
        <w:szCs w:val="12"/>
      </w:rPr>
      <w:t xml:space="preserve">© </w:t>
    </w:r>
    <w:proofErr w:type="spellStart"/>
    <w:r w:rsidRPr="00D67E0D">
      <w:rPr>
        <w:rFonts w:ascii="Arial" w:hAnsi="Arial" w:cs="Arial"/>
        <w:sz w:val="12"/>
        <w:szCs w:val="12"/>
      </w:rPr>
      <w:t>Rentila</w:t>
    </w:r>
    <w:proofErr w:type="spellEnd"/>
    <w:r w:rsidR="00AD5031">
      <w:rPr>
        <w:noProof/>
        <w:lang w:val="ru-RU" w:eastAsia="ru-RU"/>
      </w:rPr>
      <mc:AlternateContent>
        <mc:Choice Requires="wps">
          <w:drawing>
            <wp:anchor distT="0" distB="0" distL="0" distR="0" simplePos="0" relativeHeight="8" behindDoc="0" locked="0" layoutInCell="1" allowOverlap="1">
              <wp:simplePos x="0" y="0"/>
              <wp:positionH relativeFrom="page">
                <wp:posOffset>6681470</wp:posOffset>
              </wp:positionH>
              <wp:positionV relativeFrom="paragraph">
                <wp:posOffset>6350</wp:posOffset>
              </wp:positionV>
              <wp:extent cx="113665" cy="116205"/>
              <wp:effectExtent l="0" t="0" r="0" b="0"/>
              <wp:wrapSquare wrapText="largest"/>
              <wp:docPr id="1"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04B0" w:rsidRPr="00185DCD" w:rsidRDefault="000C0E95" w:rsidP="00185DCD">
                          <w:pPr>
                            <w:pStyle w:val="Footer"/>
                            <w:jc w:val="right"/>
                            <w:rPr>
                              <w:rFonts w:ascii="Arial" w:hAnsi="Arial" w:cs="Arial"/>
                              <w:sz w:val="14"/>
                              <w:szCs w:val="14"/>
                            </w:rPr>
                          </w:pPr>
                          <w:r w:rsidRPr="00185DCD">
                            <w:rPr>
                              <w:rStyle w:val="PageNumber"/>
                              <w:rFonts w:cs="Arial"/>
                            </w:rPr>
                            <w:fldChar w:fldCharType="begin"/>
                          </w:r>
                          <w:r w:rsidR="00BF04DF" w:rsidRPr="00185DCD">
                            <w:rPr>
                              <w:rFonts w:ascii="Arial" w:hAnsi="Arial" w:cs="Arial"/>
                              <w:sz w:val="14"/>
                              <w:szCs w:val="14"/>
                            </w:rPr>
                            <w:instrText>PAGE</w:instrText>
                          </w:r>
                          <w:r w:rsidRPr="00185DCD">
                            <w:rPr>
                              <w:rFonts w:ascii="Arial" w:hAnsi="Arial" w:cs="Arial"/>
                              <w:sz w:val="14"/>
                              <w:szCs w:val="14"/>
                            </w:rPr>
                            <w:fldChar w:fldCharType="separate"/>
                          </w:r>
                          <w:r w:rsidR="003E2D45">
                            <w:rPr>
                              <w:rFonts w:ascii="Arial" w:hAnsi="Arial" w:cs="Arial"/>
                              <w:noProof/>
                              <w:sz w:val="14"/>
                              <w:szCs w:val="14"/>
                            </w:rPr>
                            <w:t>5</w:t>
                          </w:r>
                          <w:r w:rsidRPr="00185DCD">
                            <w:rPr>
                              <w:rFonts w:ascii="Arial" w:hAnsi="Arial" w:cs="Arial"/>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id="_x0000_t202" coordsize="21600,21600" o:spt="202" path="m,l,21600r21600,l21600,xe">
              <v:stroke joinstyle="miter"/>
              <v:path gradientshapeok="t" o:connecttype="rect"/>
            </v:shapetype>
            <v:shape id="Frame1" o:spid="_x0000_s1026" type="#_x0000_t202" style="position:absolute;margin-left:526.1pt;margin-top:.5pt;width:8.95pt;height:9.15pt;z-index: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" stroked="f">
              <v:fill opacity="0"/>
              <v:path arrowok="t"/>
              <v:textbox inset="0,0,0,0">
                <w:txbxContent>
                  <w:p w:rsidR="00D704B0" w:rsidRPr="00185DCD" w:rsidRDefault="000C0E95" w:rsidP="00185DCD">
                    <w:pPr>
                      <w:pStyle w:val="Footer"/>
                      <w:jc w:val="right"/>
                      <w:rPr>
                        <w:rFonts w:ascii="Arial" w:hAnsi="Arial" w:cs="Arial"/>
                        <w:sz w:val="14"/>
                        <w:szCs w:val="14"/>
                      </w:rPr>
                    </w:pPr>
                    <w:r w:rsidRPr="00185DCD">
                      <w:rPr>
                        <w:rStyle w:val="PageNumber"/>
                        <w:rFonts w:cs="Arial"/>
                      </w:rPr>
                      <w:fldChar w:fldCharType="begin"/>
                    </w:r>
                    <w:r w:rsidR="00BF04DF" w:rsidRPr="00185DCD">
                      <w:rPr>
                        <w:rFonts w:ascii="Arial" w:hAnsi="Arial" w:cs="Arial"/>
                        <w:sz w:val="14"/>
                        <w:szCs w:val="14"/>
                      </w:rPr>
                      <w:instrText>PAGE</w:instrText>
                    </w:r>
                    <w:r w:rsidRPr="00185DCD">
                      <w:rPr>
                        <w:rFonts w:ascii="Arial" w:hAnsi="Arial" w:cs="Arial"/>
                        <w:sz w:val="14"/>
                        <w:szCs w:val="14"/>
                      </w:rPr>
                      <w:fldChar w:fldCharType="separate"/>
                    </w:r>
                    <w:r w:rsidR="003E2D45">
                      <w:rPr>
                        <w:rFonts w:ascii="Arial" w:hAnsi="Arial" w:cs="Arial"/>
                        <w:noProof/>
                        <w:sz w:val="14"/>
                        <w:szCs w:val="14"/>
                      </w:rPr>
                      <w:t>5</w:t>
                    </w:r>
                    <w:r w:rsidRPr="00185DCD">
                      <w:rPr>
                        <w:rFonts w:ascii="Arial" w:hAnsi="Arial" w:cs="Arial"/>
                        <w:sz w:val="14"/>
                        <w:szCs w:val="1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DC2" w:rsidRDefault="00D95DC2">
      <w:r>
        <w:separator/>
      </w:r>
    </w:p>
  </w:footnote>
  <w:footnote w:type="continuationSeparator" w:id="0">
    <w:p w:rsidR="00D95DC2" w:rsidRDefault="00D95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64A318"/>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453C5ACE"/>
    <w:lvl w:ilvl="0">
      <w:start w:val="1"/>
      <w:numFmt w:val="decimal"/>
      <w:lvlText w:val="%1."/>
      <w:lvlJc w:val="left"/>
      <w:pPr>
        <w:tabs>
          <w:tab w:val="num" w:pos="643"/>
        </w:tabs>
        <w:ind w:left="643" w:hanging="360"/>
      </w:pPr>
    </w:lvl>
  </w:abstractNum>
  <w:abstractNum w:abstractNumId="2" w15:restartNumberingAfterBreak="0">
    <w:nsid w:val="0194285B"/>
    <w:multiLevelType w:val="hybridMultilevel"/>
    <w:tmpl w:val="CD74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E20EB"/>
    <w:multiLevelType w:val="multilevel"/>
    <w:tmpl w:val="59CEAB0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lowerLetter"/>
      <w:lvlText w:val="%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694C67"/>
    <w:multiLevelType w:val="hybridMultilevel"/>
    <w:tmpl w:val="C59A52F8"/>
    <w:lvl w:ilvl="0" w:tplc="AFB41E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75275"/>
    <w:multiLevelType w:val="hybridMultilevel"/>
    <w:tmpl w:val="FBBC11E2"/>
    <w:lvl w:ilvl="0" w:tplc="041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6" w15:restartNumberingAfterBreak="0">
    <w:nsid w:val="306F55E6"/>
    <w:multiLevelType w:val="hybridMultilevel"/>
    <w:tmpl w:val="4D4A69BE"/>
    <w:lvl w:ilvl="0" w:tplc="041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7" w15:restartNumberingAfterBreak="0">
    <w:nsid w:val="32645752"/>
    <w:multiLevelType w:val="multilevel"/>
    <w:tmpl w:val="622E001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A15028"/>
    <w:multiLevelType w:val="hybridMultilevel"/>
    <w:tmpl w:val="AD88ED5E"/>
    <w:lvl w:ilvl="0" w:tplc="041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6681B"/>
    <w:multiLevelType w:val="hybridMultilevel"/>
    <w:tmpl w:val="3600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53569B"/>
    <w:multiLevelType w:val="multilevel"/>
    <w:tmpl w:val="97646CF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983A11"/>
    <w:multiLevelType w:val="multilevel"/>
    <w:tmpl w:val="E6E6C404"/>
    <w:lvl w:ilvl="0">
      <w:start w:val="1"/>
      <w:numFmt w:val="decimal"/>
      <w:pStyle w:val="Style1"/>
      <w:lvlText w:val="%1."/>
      <w:lvlJc w:val="left"/>
      <w:pPr>
        <w:tabs>
          <w:tab w:val="num" w:pos="709"/>
        </w:tabs>
        <w:ind w:left="709" w:hanging="709"/>
      </w:pPr>
      <w:rPr>
        <w:rFonts w:ascii="Arial" w:hAnsi="Arial" w:hint="default"/>
        <w:b/>
        <w:i w:val="0"/>
        <w:sz w:val="18"/>
        <w:szCs w:val="18"/>
      </w:rPr>
    </w:lvl>
    <w:lvl w:ilvl="1">
      <w:start w:val="1"/>
      <w:numFmt w:val="decimal"/>
      <w:lvlRestart w:val="0"/>
      <w:pStyle w:val="Style1notBold"/>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18"/>
        <w:szCs w:val="18"/>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6A3BA4"/>
    <w:multiLevelType w:val="multilevel"/>
    <w:tmpl w:val="804C7F8E"/>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3BEA52BC"/>
    <w:multiLevelType w:val="multilevel"/>
    <w:tmpl w:val="6F8E28B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F72F35"/>
    <w:multiLevelType w:val="hybridMultilevel"/>
    <w:tmpl w:val="FC248CD6"/>
    <w:lvl w:ilvl="0" w:tplc="041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73BBC"/>
    <w:multiLevelType w:val="multilevel"/>
    <w:tmpl w:val="C69CCF6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0F10DE4"/>
    <w:multiLevelType w:val="multilevel"/>
    <w:tmpl w:val="253A8BF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BD32A49"/>
    <w:multiLevelType w:val="hybridMultilevel"/>
    <w:tmpl w:val="010EDF66"/>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658D3"/>
    <w:multiLevelType w:val="multilevel"/>
    <w:tmpl w:val="B2DADB1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56A840AC"/>
    <w:multiLevelType w:val="multilevel"/>
    <w:tmpl w:val="ACFE1A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A276394"/>
    <w:multiLevelType w:val="multilevel"/>
    <w:tmpl w:val="CC823E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4001854"/>
    <w:multiLevelType w:val="hybridMultilevel"/>
    <w:tmpl w:val="F77C0E1C"/>
    <w:lvl w:ilvl="0" w:tplc="04190017">
      <w:start w:val="1"/>
      <w:numFmt w:val="lowerLetter"/>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2" w15:restartNumberingAfterBreak="0">
    <w:nsid w:val="6ADD658B"/>
    <w:multiLevelType w:val="multilevel"/>
    <w:tmpl w:val="1CD0A5D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147A5F"/>
    <w:multiLevelType w:val="multilevel"/>
    <w:tmpl w:val="DF9AC9CE"/>
    <w:lvl w:ilvl="0">
      <w:start w:val="6"/>
      <w:numFmt w:val="bullet"/>
      <w:lvlText w:val="-"/>
      <w:lvlJc w:val="left"/>
      <w:pPr>
        <w:tabs>
          <w:tab w:val="num" w:pos="720"/>
        </w:tabs>
        <w:ind w:left="720" w:hanging="360"/>
      </w:pPr>
      <w:rPr>
        <w:rFonts w:ascii="Arial" w:hAnsi="Arial" w:cs="Aria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4D321A8"/>
    <w:multiLevelType w:val="multilevel"/>
    <w:tmpl w:val="AF64111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5"/>
  </w:num>
  <w:num w:numId="2">
    <w:abstractNumId w:val="23"/>
  </w:num>
  <w:num w:numId="3">
    <w:abstractNumId w:val="12"/>
  </w:num>
  <w:num w:numId="4">
    <w:abstractNumId w:val="24"/>
  </w:num>
  <w:num w:numId="5">
    <w:abstractNumId w:val="18"/>
  </w:num>
  <w:num w:numId="6">
    <w:abstractNumId w:val="0"/>
  </w:num>
  <w:num w:numId="7">
    <w:abstractNumId w:val="1"/>
  </w:num>
  <w:num w:numId="8">
    <w:abstractNumId w:val="11"/>
  </w:num>
  <w:num w:numId="9">
    <w:abstractNumId w:val="16"/>
  </w:num>
  <w:num w:numId="10">
    <w:abstractNumId w:val="17"/>
  </w:num>
  <w:num w:numId="11">
    <w:abstractNumId w:val="5"/>
  </w:num>
  <w:num w:numId="12">
    <w:abstractNumId w:val="6"/>
  </w:num>
  <w:num w:numId="13">
    <w:abstractNumId w:val="4"/>
  </w:num>
  <w:num w:numId="14">
    <w:abstractNumId w:val="20"/>
  </w:num>
  <w:num w:numId="15">
    <w:abstractNumId w:val="13"/>
  </w:num>
  <w:num w:numId="16">
    <w:abstractNumId w:val="10"/>
  </w:num>
  <w:num w:numId="17">
    <w:abstractNumId w:val="19"/>
  </w:num>
  <w:num w:numId="18">
    <w:abstractNumId w:val="3"/>
  </w:num>
  <w:num w:numId="19">
    <w:abstractNumId w:val="21"/>
  </w:num>
  <w:num w:numId="20">
    <w:abstractNumId w:val="8"/>
  </w:num>
  <w:num w:numId="21">
    <w:abstractNumId w:val="22"/>
  </w:num>
  <w:num w:numId="22">
    <w:abstractNumId w:val="2"/>
  </w:num>
  <w:num w:numId="23">
    <w:abstractNumId w:val="9"/>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B0"/>
    <w:rsid w:val="00007C26"/>
    <w:rsid w:val="000129B6"/>
    <w:rsid w:val="00031A32"/>
    <w:rsid w:val="00047B06"/>
    <w:rsid w:val="000662E1"/>
    <w:rsid w:val="000B1671"/>
    <w:rsid w:val="000B3BD7"/>
    <w:rsid w:val="000C0639"/>
    <w:rsid w:val="000C0E95"/>
    <w:rsid w:val="000C55A5"/>
    <w:rsid w:val="000C5CDB"/>
    <w:rsid w:val="000E522E"/>
    <w:rsid w:val="00117E33"/>
    <w:rsid w:val="00131DED"/>
    <w:rsid w:val="00166686"/>
    <w:rsid w:val="001744DB"/>
    <w:rsid w:val="00185DCD"/>
    <w:rsid w:val="00195CE0"/>
    <w:rsid w:val="001A78C5"/>
    <w:rsid w:val="001C591B"/>
    <w:rsid w:val="001C7E73"/>
    <w:rsid w:val="001E73D0"/>
    <w:rsid w:val="001F51B9"/>
    <w:rsid w:val="00211905"/>
    <w:rsid w:val="002305EB"/>
    <w:rsid w:val="00231148"/>
    <w:rsid w:val="00256FFF"/>
    <w:rsid w:val="00272FF9"/>
    <w:rsid w:val="0029314E"/>
    <w:rsid w:val="00295285"/>
    <w:rsid w:val="00295659"/>
    <w:rsid w:val="002B4CAF"/>
    <w:rsid w:val="002C0EC4"/>
    <w:rsid w:val="002F4E86"/>
    <w:rsid w:val="002F667D"/>
    <w:rsid w:val="003113AC"/>
    <w:rsid w:val="00353B8F"/>
    <w:rsid w:val="00357FCB"/>
    <w:rsid w:val="003627A6"/>
    <w:rsid w:val="00386282"/>
    <w:rsid w:val="00395697"/>
    <w:rsid w:val="003A0CF1"/>
    <w:rsid w:val="003D0DCB"/>
    <w:rsid w:val="003E2D45"/>
    <w:rsid w:val="003F16E2"/>
    <w:rsid w:val="00416F28"/>
    <w:rsid w:val="0041798D"/>
    <w:rsid w:val="004248CE"/>
    <w:rsid w:val="00427BA1"/>
    <w:rsid w:val="004804ED"/>
    <w:rsid w:val="004828DE"/>
    <w:rsid w:val="00484CAD"/>
    <w:rsid w:val="00490047"/>
    <w:rsid w:val="004952A0"/>
    <w:rsid w:val="004A1B5A"/>
    <w:rsid w:val="004C7142"/>
    <w:rsid w:val="004D3B83"/>
    <w:rsid w:val="004D7639"/>
    <w:rsid w:val="004E4051"/>
    <w:rsid w:val="004F5D74"/>
    <w:rsid w:val="00502537"/>
    <w:rsid w:val="00510763"/>
    <w:rsid w:val="00512813"/>
    <w:rsid w:val="005165F0"/>
    <w:rsid w:val="005570A9"/>
    <w:rsid w:val="005610C6"/>
    <w:rsid w:val="0057568E"/>
    <w:rsid w:val="005837B0"/>
    <w:rsid w:val="005A792C"/>
    <w:rsid w:val="005B54D4"/>
    <w:rsid w:val="005E482A"/>
    <w:rsid w:val="005F7A72"/>
    <w:rsid w:val="00604070"/>
    <w:rsid w:val="0060503F"/>
    <w:rsid w:val="00611E6E"/>
    <w:rsid w:val="006135C0"/>
    <w:rsid w:val="00614034"/>
    <w:rsid w:val="00626EFB"/>
    <w:rsid w:val="006313D1"/>
    <w:rsid w:val="00646952"/>
    <w:rsid w:val="00651525"/>
    <w:rsid w:val="00656CDD"/>
    <w:rsid w:val="00661C94"/>
    <w:rsid w:val="006748CB"/>
    <w:rsid w:val="00684FD1"/>
    <w:rsid w:val="00690D94"/>
    <w:rsid w:val="006A4153"/>
    <w:rsid w:val="006B410D"/>
    <w:rsid w:val="006D1100"/>
    <w:rsid w:val="006D54AF"/>
    <w:rsid w:val="007536CC"/>
    <w:rsid w:val="0076406A"/>
    <w:rsid w:val="00767114"/>
    <w:rsid w:val="007726EC"/>
    <w:rsid w:val="00774DD3"/>
    <w:rsid w:val="00776D67"/>
    <w:rsid w:val="007930C6"/>
    <w:rsid w:val="007A7A61"/>
    <w:rsid w:val="007E74F1"/>
    <w:rsid w:val="00810A65"/>
    <w:rsid w:val="00821D19"/>
    <w:rsid w:val="00832FC5"/>
    <w:rsid w:val="00857E25"/>
    <w:rsid w:val="008620AA"/>
    <w:rsid w:val="0087395E"/>
    <w:rsid w:val="008A436A"/>
    <w:rsid w:val="008A7230"/>
    <w:rsid w:val="008C4E06"/>
    <w:rsid w:val="008C518F"/>
    <w:rsid w:val="008E4E6B"/>
    <w:rsid w:val="008E6CDC"/>
    <w:rsid w:val="009036BE"/>
    <w:rsid w:val="00907FA4"/>
    <w:rsid w:val="009206D3"/>
    <w:rsid w:val="00927E28"/>
    <w:rsid w:val="009360F1"/>
    <w:rsid w:val="0093787C"/>
    <w:rsid w:val="009407D5"/>
    <w:rsid w:val="00941798"/>
    <w:rsid w:val="00950112"/>
    <w:rsid w:val="009602F4"/>
    <w:rsid w:val="009651F9"/>
    <w:rsid w:val="009700C6"/>
    <w:rsid w:val="00970E9A"/>
    <w:rsid w:val="00972A56"/>
    <w:rsid w:val="00981094"/>
    <w:rsid w:val="009879DC"/>
    <w:rsid w:val="00995E3D"/>
    <w:rsid w:val="009D5DBC"/>
    <w:rsid w:val="009E565C"/>
    <w:rsid w:val="00A14B68"/>
    <w:rsid w:val="00A402D6"/>
    <w:rsid w:val="00A85E76"/>
    <w:rsid w:val="00A91D05"/>
    <w:rsid w:val="00A978AE"/>
    <w:rsid w:val="00AA0624"/>
    <w:rsid w:val="00AA1D3C"/>
    <w:rsid w:val="00AB41BC"/>
    <w:rsid w:val="00AC1B97"/>
    <w:rsid w:val="00AD5031"/>
    <w:rsid w:val="00AE15AE"/>
    <w:rsid w:val="00B02942"/>
    <w:rsid w:val="00B269AB"/>
    <w:rsid w:val="00B36B51"/>
    <w:rsid w:val="00B37E7C"/>
    <w:rsid w:val="00B40F28"/>
    <w:rsid w:val="00B6659E"/>
    <w:rsid w:val="00B729C2"/>
    <w:rsid w:val="00B80997"/>
    <w:rsid w:val="00BB28D4"/>
    <w:rsid w:val="00BB7C0E"/>
    <w:rsid w:val="00BF04DF"/>
    <w:rsid w:val="00C026DB"/>
    <w:rsid w:val="00C11FA7"/>
    <w:rsid w:val="00C205A1"/>
    <w:rsid w:val="00C236AB"/>
    <w:rsid w:val="00C32236"/>
    <w:rsid w:val="00C4309D"/>
    <w:rsid w:val="00C519E2"/>
    <w:rsid w:val="00C57A3D"/>
    <w:rsid w:val="00C84D7B"/>
    <w:rsid w:val="00C85FF7"/>
    <w:rsid w:val="00C86935"/>
    <w:rsid w:val="00C87C18"/>
    <w:rsid w:val="00C927CE"/>
    <w:rsid w:val="00C966A5"/>
    <w:rsid w:val="00CE7C69"/>
    <w:rsid w:val="00CF0D7C"/>
    <w:rsid w:val="00CF55DF"/>
    <w:rsid w:val="00D01525"/>
    <w:rsid w:val="00D31577"/>
    <w:rsid w:val="00D43470"/>
    <w:rsid w:val="00D67E0D"/>
    <w:rsid w:val="00D704B0"/>
    <w:rsid w:val="00D8319F"/>
    <w:rsid w:val="00D95DC2"/>
    <w:rsid w:val="00DD6D5D"/>
    <w:rsid w:val="00DE1647"/>
    <w:rsid w:val="00E07837"/>
    <w:rsid w:val="00E1357C"/>
    <w:rsid w:val="00E315DF"/>
    <w:rsid w:val="00E371CF"/>
    <w:rsid w:val="00E60D65"/>
    <w:rsid w:val="00E90C35"/>
    <w:rsid w:val="00E94ECA"/>
    <w:rsid w:val="00E96382"/>
    <w:rsid w:val="00EC11BE"/>
    <w:rsid w:val="00ED2C64"/>
    <w:rsid w:val="00ED527B"/>
    <w:rsid w:val="00EF10BC"/>
    <w:rsid w:val="00EF3229"/>
    <w:rsid w:val="00F125AD"/>
    <w:rsid w:val="00F1739B"/>
    <w:rsid w:val="00F278C1"/>
    <w:rsid w:val="00F3022F"/>
    <w:rsid w:val="00F47F6E"/>
    <w:rsid w:val="00F56433"/>
    <w:rsid w:val="00F6537C"/>
    <w:rsid w:val="00F65841"/>
    <w:rsid w:val="00F7547C"/>
    <w:rsid w:val="00F846F0"/>
    <w:rsid w:val="00F861DD"/>
    <w:rsid w:val="00F92B0E"/>
    <w:rsid w:val="00F968A9"/>
    <w:rsid w:val="00FA113D"/>
    <w:rsid w:val="00FA6377"/>
    <w:rsid w:val="00FC1DB5"/>
    <w:rsid w:val="00FD7025"/>
    <w:rsid w:val="00FF6F94"/>
    <w:rsid w:val="00FF7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412A7"/>
  <w15:docId w15:val="{83E6337B-2793-2743-8F04-4D7B3848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6FFF"/>
    <w:rPr>
      <w:lang w:val="fr-FR" w:eastAsia="fr-FR"/>
    </w:rPr>
  </w:style>
  <w:style w:type="paragraph" w:styleId="Heading1">
    <w:name w:val="heading 1"/>
    <w:basedOn w:val="Normal"/>
    <w:next w:val="Normal"/>
    <w:link w:val="Heading1Char"/>
    <w:uiPriority w:val="99"/>
    <w:qFormat/>
    <w:rsid w:val="009407D5"/>
    <w:pPr>
      <w:keepNext/>
      <w:pBdr>
        <w:top w:val="single" w:sz="4" w:space="2" w:color="808080"/>
        <w:left w:val="single" w:sz="4" w:space="3" w:color="808080"/>
        <w:bottom w:val="single" w:sz="4" w:space="2" w:color="808080"/>
        <w:right w:val="single" w:sz="4" w:space="0" w:color="808080"/>
      </w:pBdr>
      <w:ind w:left="85"/>
      <w:outlineLvl w:val="0"/>
    </w:pPr>
    <w:rPr>
      <w:rFonts w:ascii="Arial" w:hAnsi="Arial" w:cs="Arial"/>
      <w:b/>
      <w:caps/>
      <w:sz w:val="16"/>
      <w:szCs w:val="32"/>
    </w:rPr>
  </w:style>
  <w:style w:type="paragraph" w:styleId="Heading2">
    <w:name w:val="heading 2"/>
    <w:basedOn w:val="Normal"/>
    <w:next w:val="Normal"/>
    <w:link w:val="Heading2Char"/>
    <w:uiPriority w:val="99"/>
    <w:qFormat/>
    <w:rsid w:val="00256FFF"/>
    <w:pPr>
      <w:keepNext/>
      <w:pBdr>
        <w:top w:val="single" w:sz="4" w:space="1" w:color="00000A"/>
        <w:left w:val="single" w:sz="4" w:space="4" w:color="00000A"/>
        <w:bottom w:val="single" w:sz="4" w:space="1" w:color="00000A"/>
        <w:right w:val="single" w:sz="4" w:space="4" w:color="00000A"/>
      </w:pBdr>
      <w:outlineLvl w:val="1"/>
    </w:pPr>
    <w:rPr>
      <w:rFonts w:ascii="Arial" w:hAnsi="Arial" w:cs="Arial"/>
      <w:sz w:val="24"/>
      <w:szCs w:val="24"/>
    </w:rPr>
  </w:style>
  <w:style w:type="paragraph" w:styleId="Heading3">
    <w:name w:val="heading 3"/>
    <w:basedOn w:val="Normal"/>
    <w:next w:val="Normal"/>
    <w:link w:val="Heading3Char"/>
    <w:uiPriority w:val="99"/>
    <w:qFormat/>
    <w:rsid w:val="00256FFF"/>
    <w:pPr>
      <w:keepNext/>
      <w:jc w:val="center"/>
      <w:outlineLvl w:val="2"/>
    </w:pPr>
    <w:rPr>
      <w:rFonts w:ascii="Arial" w:hAnsi="Arial" w:cs="Arial"/>
      <w:u w:val="single"/>
    </w:rPr>
  </w:style>
  <w:style w:type="paragraph" w:styleId="Heading4">
    <w:name w:val="heading 4"/>
    <w:basedOn w:val="Normal"/>
    <w:next w:val="Normal"/>
    <w:link w:val="Heading4Char"/>
    <w:uiPriority w:val="99"/>
    <w:qFormat/>
    <w:rsid w:val="00256FFF"/>
    <w:pPr>
      <w:keepNext/>
      <w:pBdr>
        <w:top w:val="single" w:sz="4" w:space="1" w:color="00000A"/>
        <w:left w:val="single" w:sz="4" w:space="4" w:color="00000A"/>
        <w:bottom w:val="single" w:sz="4" w:space="1" w:color="00000A"/>
        <w:right w:val="single" w:sz="4" w:space="4" w:color="00000A"/>
      </w:pBdr>
      <w:outlineLvl w:val="3"/>
    </w:pPr>
    <w:rPr>
      <w:rFonts w:ascii="Arial" w:hAnsi="Arial" w:cs="Arial"/>
      <w:b/>
      <w:bCs/>
      <w:sz w:val="24"/>
      <w:szCs w:val="24"/>
    </w:rPr>
  </w:style>
  <w:style w:type="paragraph" w:styleId="Heading5">
    <w:name w:val="heading 5"/>
    <w:basedOn w:val="Normal"/>
    <w:next w:val="Normal"/>
    <w:link w:val="Heading5Char"/>
    <w:uiPriority w:val="99"/>
    <w:qFormat/>
    <w:rsid w:val="00256FFF"/>
    <w:pPr>
      <w:keepNext/>
      <w:pBdr>
        <w:top w:val="single" w:sz="4" w:space="1" w:color="00000A"/>
        <w:left w:val="single" w:sz="4" w:space="4" w:color="00000A"/>
        <w:bottom w:val="single" w:sz="4" w:space="1" w:color="00000A"/>
        <w:right w:val="single" w:sz="4" w:space="4" w:color="00000A"/>
      </w:pBdr>
      <w:shd w:val="pct20" w:color="000000" w:fill="FFFFFF"/>
      <w:jc w:val="center"/>
      <w:outlineLvl w:val="4"/>
    </w:pPr>
    <w:rPr>
      <w:rFonts w:ascii="Arial" w:hAnsi="Arial" w:cs="Arial"/>
      <w:sz w:val="32"/>
      <w:szCs w:val="32"/>
    </w:rPr>
  </w:style>
  <w:style w:type="paragraph" w:styleId="Heading6">
    <w:name w:val="heading 6"/>
    <w:basedOn w:val="Normal"/>
    <w:next w:val="Normal"/>
    <w:link w:val="Heading6Char"/>
    <w:uiPriority w:val="99"/>
    <w:qFormat/>
    <w:rsid w:val="00256FFF"/>
    <w:pPr>
      <w:keepNext/>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rsid w:val="009407D5"/>
    <w:rPr>
      <w:rFonts w:ascii="Arial" w:hAnsi="Arial" w:cs="Arial"/>
      <w:b/>
      <w:caps/>
      <w:sz w:val="16"/>
      <w:szCs w:val="32"/>
      <w:lang w:val="fr-FR" w:eastAsia="fr-FR"/>
    </w:rPr>
  </w:style>
  <w:style w:type="character" w:customStyle="1" w:styleId="Heading2Char">
    <w:name w:val="Heading 2 Char"/>
    <w:link w:val="Heading2"/>
    <w:uiPriority w:val="99"/>
    <w:qFormat/>
    <w:rsid w:val="00256FFF"/>
    <w:rPr>
      <w:rFonts w:ascii="Calibri" w:eastAsia="Times New Roman" w:hAnsi="Calibri" w:cs="Times New Roman"/>
      <w:b/>
      <w:bCs/>
      <w:i/>
      <w:iCs/>
      <w:sz w:val="28"/>
      <w:szCs w:val="28"/>
      <w:lang w:val="fr-FR" w:eastAsia="fr-FR"/>
    </w:rPr>
  </w:style>
  <w:style w:type="character" w:customStyle="1" w:styleId="Heading3Char">
    <w:name w:val="Heading 3 Char"/>
    <w:link w:val="Heading3"/>
    <w:uiPriority w:val="9"/>
    <w:semiHidden/>
    <w:qFormat/>
    <w:rsid w:val="00256FFF"/>
    <w:rPr>
      <w:rFonts w:ascii="Calibri" w:eastAsia="Times New Roman" w:hAnsi="Calibri" w:cs="Times New Roman"/>
      <w:b/>
      <w:bCs/>
      <w:sz w:val="26"/>
      <w:szCs w:val="26"/>
      <w:lang w:val="fr-FR" w:eastAsia="fr-FR"/>
    </w:rPr>
  </w:style>
  <w:style w:type="character" w:customStyle="1" w:styleId="Heading4Char">
    <w:name w:val="Heading 4 Char"/>
    <w:link w:val="Heading4"/>
    <w:uiPriority w:val="9"/>
    <w:semiHidden/>
    <w:qFormat/>
    <w:rsid w:val="00256FFF"/>
    <w:rPr>
      <w:rFonts w:ascii="Cambria" w:eastAsia="Times New Roman" w:hAnsi="Cambria" w:cs="Times New Roman"/>
      <w:b/>
      <w:bCs/>
      <w:sz w:val="28"/>
      <w:szCs w:val="28"/>
      <w:lang w:val="fr-FR" w:eastAsia="fr-FR"/>
    </w:rPr>
  </w:style>
  <w:style w:type="character" w:customStyle="1" w:styleId="Heading5Char">
    <w:name w:val="Heading 5 Char"/>
    <w:link w:val="Heading5"/>
    <w:uiPriority w:val="9"/>
    <w:semiHidden/>
    <w:qFormat/>
    <w:rsid w:val="00256FFF"/>
    <w:rPr>
      <w:rFonts w:ascii="Cambria" w:eastAsia="Times New Roman" w:hAnsi="Cambria" w:cs="Times New Roman"/>
      <w:b/>
      <w:bCs/>
      <w:i/>
      <w:iCs/>
      <w:sz w:val="26"/>
      <w:szCs w:val="26"/>
      <w:lang w:val="fr-FR" w:eastAsia="fr-FR"/>
    </w:rPr>
  </w:style>
  <w:style w:type="character" w:customStyle="1" w:styleId="Heading6Char">
    <w:name w:val="Heading 6 Char"/>
    <w:link w:val="Heading6"/>
    <w:uiPriority w:val="9"/>
    <w:semiHidden/>
    <w:qFormat/>
    <w:rsid w:val="00256FFF"/>
    <w:rPr>
      <w:rFonts w:ascii="Cambria" w:eastAsia="Times New Roman" w:hAnsi="Cambria" w:cs="Times New Roman"/>
      <w:b/>
      <w:bCs/>
      <w:sz w:val="22"/>
      <w:szCs w:val="22"/>
      <w:lang w:val="fr-FR" w:eastAsia="fr-FR"/>
    </w:rPr>
  </w:style>
  <w:style w:type="character" w:customStyle="1" w:styleId="BodyTextChar">
    <w:name w:val="Body Text Char"/>
    <w:link w:val="BodyText"/>
    <w:uiPriority w:val="99"/>
    <w:semiHidden/>
    <w:qFormat/>
    <w:rsid w:val="00256FFF"/>
    <w:rPr>
      <w:lang w:val="fr-FR" w:eastAsia="fr-FR"/>
    </w:rPr>
  </w:style>
  <w:style w:type="character" w:customStyle="1" w:styleId="BodyTextIndent2Char">
    <w:name w:val="Body Text Indent 2 Char"/>
    <w:link w:val="BodyTextIndent2"/>
    <w:uiPriority w:val="99"/>
    <w:semiHidden/>
    <w:qFormat/>
    <w:rsid w:val="00256FFF"/>
    <w:rPr>
      <w:lang w:val="fr-FR" w:eastAsia="fr-FR"/>
    </w:rPr>
  </w:style>
  <w:style w:type="character" w:customStyle="1" w:styleId="BodyTextIndentChar">
    <w:name w:val="Body Text Indent Char"/>
    <w:link w:val="BodyTextIndent"/>
    <w:uiPriority w:val="99"/>
    <w:semiHidden/>
    <w:qFormat/>
    <w:rsid w:val="00256FFF"/>
    <w:rPr>
      <w:lang w:val="fr-FR" w:eastAsia="fr-FR"/>
    </w:rPr>
  </w:style>
  <w:style w:type="character" w:customStyle="1" w:styleId="FooterChar">
    <w:name w:val="Footer Char"/>
    <w:link w:val="Footer"/>
    <w:uiPriority w:val="99"/>
    <w:semiHidden/>
    <w:qFormat/>
    <w:rsid w:val="00256FFF"/>
    <w:rPr>
      <w:lang w:val="fr-FR" w:eastAsia="fr-FR"/>
    </w:rPr>
  </w:style>
  <w:style w:type="character" w:styleId="PageNumber">
    <w:name w:val="page number"/>
    <w:uiPriority w:val="99"/>
    <w:qFormat/>
    <w:rsid w:val="00256FFF"/>
    <w:rPr>
      <w:rFonts w:cs="Times New Roman"/>
    </w:rPr>
  </w:style>
  <w:style w:type="character" w:customStyle="1" w:styleId="HeaderChar">
    <w:name w:val="Header Char"/>
    <w:link w:val="Header"/>
    <w:uiPriority w:val="99"/>
    <w:semiHidden/>
    <w:qFormat/>
    <w:rsid w:val="00256FFF"/>
    <w:rPr>
      <w:lang w:val="fr-FR" w:eastAsia="fr-FR"/>
    </w:rPr>
  </w:style>
  <w:style w:type="character" w:styleId="Emphasis">
    <w:name w:val="Emphasis"/>
    <w:uiPriority w:val="99"/>
    <w:qFormat/>
    <w:rsid w:val="00EA1AB0"/>
    <w:rPr>
      <w:rFonts w:cs="Times New Roman"/>
      <w:i/>
      <w:iCs/>
    </w:rPr>
  </w:style>
  <w:style w:type="character" w:customStyle="1" w:styleId="TitleChar">
    <w:name w:val="Title Char"/>
    <w:basedOn w:val="DefaultParagraphFont"/>
    <w:link w:val="Title"/>
    <w:qFormat/>
    <w:rsid w:val="00802521"/>
    <w:rPr>
      <w:rFonts w:asciiTheme="majorHAnsi" w:eastAsiaTheme="majorEastAsia" w:hAnsiTheme="majorHAnsi" w:cstheme="majorBidi"/>
      <w:spacing w:val="-10"/>
      <w:sz w:val="56"/>
      <w:szCs w:val="56"/>
      <w:lang w:val="fr-FR" w:eastAsia="fr-FR"/>
    </w:rPr>
  </w:style>
  <w:style w:type="character" w:customStyle="1" w:styleId="ListLabel1">
    <w:name w:val="ListLabel 1"/>
    <w:qFormat/>
    <w:rsid w:val="00256FFF"/>
    <w:rPr>
      <w:b/>
    </w:rPr>
  </w:style>
  <w:style w:type="character" w:customStyle="1" w:styleId="ListLabel2">
    <w:name w:val="ListLabel 2"/>
    <w:qFormat/>
    <w:rsid w:val="00256FFF"/>
    <w:rPr>
      <w:b/>
    </w:rPr>
  </w:style>
  <w:style w:type="character" w:customStyle="1" w:styleId="ListLabel3">
    <w:name w:val="ListLabel 3"/>
    <w:qFormat/>
    <w:rsid w:val="00256FFF"/>
    <w:rPr>
      <w:b/>
    </w:rPr>
  </w:style>
  <w:style w:type="character" w:customStyle="1" w:styleId="ListLabel4">
    <w:name w:val="ListLabel 4"/>
    <w:qFormat/>
    <w:rsid w:val="00256FFF"/>
    <w:rPr>
      <w:b/>
    </w:rPr>
  </w:style>
  <w:style w:type="character" w:customStyle="1" w:styleId="ListLabel5">
    <w:name w:val="ListLabel 5"/>
    <w:qFormat/>
    <w:rsid w:val="00256FFF"/>
    <w:rPr>
      <w:sz w:val="16"/>
    </w:rPr>
  </w:style>
  <w:style w:type="character" w:customStyle="1" w:styleId="ListLabel6">
    <w:name w:val="ListLabel 6"/>
    <w:qFormat/>
    <w:rsid w:val="00256FFF"/>
    <w:rPr>
      <w:sz w:val="16"/>
    </w:rPr>
  </w:style>
  <w:style w:type="character" w:customStyle="1" w:styleId="ListLabel7">
    <w:name w:val="ListLabel 7"/>
    <w:qFormat/>
    <w:rsid w:val="00256FFF"/>
    <w:rPr>
      <w:sz w:val="16"/>
    </w:rPr>
  </w:style>
  <w:style w:type="character" w:customStyle="1" w:styleId="ListLabel8">
    <w:name w:val="ListLabel 8"/>
    <w:qFormat/>
    <w:rsid w:val="00256FFF"/>
    <w:rPr>
      <w:sz w:val="16"/>
    </w:rPr>
  </w:style>
  <w:style w:type="character" w:customStyle="1" w:styleId="ListLabel9">
    <w:name w:val="ListLabel 9"/>
    <w:qFormat/>
    <w:rsid w:val="00256FFF"/>
    <w:rPr>
      <w:rFonts w:ascii="Arial" w:eastAsia="Times New Roman" w:hAnsi="Arial"/>
      <w:sz w:val="18"/>
    </w:rPr>
  </w:style>
  <w:style w:type="character" w:customStyle="1" w:styleId="ListLabel10">
    <w:name w:val="ListLabel 10"/>
    <w:qFormat/>
    <w:rsid w:val="00256FFF"/>
    <w:rPr>
      <w:rFonts w:cs="Courier New"/>
    </w:rPr>
  </w:style>
  <w:style w:type="character" w:customStyle="1" w:styleId="ListLabel11">
    <w:name w:val="ListLabel 11"/>
    <w:qFormat/>
    <w:rsid w:val="00256FFF"/>
    <w:rPr>
      <w:rFonts w:cs="Courier New"/>
    </w:rPr>
  </w:style>
  <w:style w:type="character" w:customStyle="1" w:styleId="ListLabel12">
    <w:name w:val="ListLabel 12"/>
    <w:qFormat/>
    <w:rsid w:val="00256FFF"/>
    <w:rPr>
      <w:rFonts w:cs="Courier New"/>
    </w:rPr>
  </w:style>
  <w:style w:type="paragraph" w:customStyle="1" w:styleId="Heading">
    <w:name w:val="Heading"/>
    <w:basedOn w:val="Normal"/>
    <w:next w:val="BodyText"/>
    <w:qFormat/>
    <w:rsid w:val="00256FFF"/>
    <w:pPr>
      <w:keepNext/>
      <w:spacing w:before="240" w:after="120"/>
    </w:pPr>
    <w:rPr>
      <w:rFonts w:ascii="Liberation Sans" w:eastAsia="Droid Sans Fallback" w:hAnsi="Liberation Sans" w:cs="FreeSans"/>
      <w:sz w:val="28"/>
      <w:szCs w:val="28"/>
    </w:rPr>
  </w:style>
  <w:style w:type="paragraph" w:styleId="BodyText">
    <w:name w:val="Body Text"/>
    <w:basedOn w:val="Normal"/>
    <w:link w:val="BodyTextChar"/>
    <w:uiPriority w:val="99"/>
    <w:rsid w:val="00256FFF"/>
    <w:rPr>
      <w:sz w:val="28"/>
      <w:szCs w:val="28"/>
    </w:rPr>
  </w:style>
  <w:style w:type="paragraph" w:styleId="List">
    <w:name w:val="List"/>
    <w:basedOn w:val="BodyText"/>
    <w:rsid w:val="00256FFF"/>
    <w:rPr>
      <w:rFonts w:cs="FreeSans"/>
    </w:rPr>
  </w:style>
  <w:style w:type="paragraph" w:styleId="Caption">
    <w:name w:val="caption"/>
    <w:basedOn w:val="Normal"/>
    <w:qFormat/>
    <w:rsid w:val="00256FFF"/>
    <w:pPr>
      <w:suppressLineNumbers/>
      <w:spacing w:before="120" w:after="120"/>
    </w:pPr>
    <w:rPr>
      <w:rFonts w:cs="FreeSans"/>
      <w:i/>
      <w:iCs/>
      <w:sz w:val="24"/>
      <w:szCs w:val="24"/>
    </w:rPr>
  </w:style>
  <w:style w:type="paragraph" w:customStyle="1" w:styleId="Index">
    <w:name w:val="Index"/>
    <w:basedOn w:val="Normal"/>
    <w:qFormat/>
    <w:rsid w:val="00256FFF"/>
    <w:pPr>
      <w:suppressLineNumbers/>
    </w:pPr>
    <w:rPr>
      <w:rFonts w:cs="FreeSans"/>
    </w:rPr>
  </w:style>
  <w:style w:type="paragraph" w:styleId="BodyTextIndent2">
    <w:name w:val="Body Text Indent 2"/>
    <w:basedOn w:val="Normal"/>
    <w:link w:val="BodyTextIndent2Char"/>
    <w:uiPriority w:val="99"/>
    <w:qFormat/>
    <w:rsid w:val="00256FFF"/>
    <w:pPr>
      <w:tabs>
        <w:tab w:val="left" w:pos="284"/>
      </w:tabs>
      <w:ind w:left="284" w:hanging="284"/>
    </w:pPr>
    <w:rPr>
      <w:sz w:val="28"/>
      <w:szCs w:val="28"/>
    </w:rPr>
  </w:style>
  <w:style w:type="paragraph" w:styleId="BodyTextIndent">
    <w:name w:val="Body Text Indent"/>
    <w:basedOn w:val="Normal"/>
    <w:link w:val="BodyTextIndentChar"/>
    <w:uiPriority w:val="99"/>
    <w:rsid w:val="00256FFF"/>
    <w:pPr>
      <w:ind w:left="284"/>
    </w:pPr>
    <w:rPr>
      <w:sz w:val="28"/>
      <w:szCs w:val="28"/>
    </w:rPr>
  </w:style>
  <w:style w:type="paragraph" w:styleId="Footer">
    <w:name w:val="footer"/>
    <w:basedOn w:val="Normal"/>
    <w:link w:val="FooterChar"/>
    <w:uiPriority w:val="99"/>
    <w:rsid w:val="00256FFF"/>
    <w:pPr>
      <w:tabs>
        <w:tab w:val="center" w:pos="4536"/>
        <w:tab w:val="right" w:pos="9072"/>
      </w:tabs>
    </w:pPr>
  </w:style>
  <w:style w:type="paragraph" w:styleId="Header">
    <w:name w:val="header"/>
    <w:basedOn w:val="Normal"/>
    <w:link w:val="HeaderChar"/>
    <w:uiPriority w:val="99"/>
    <w:rsid w:val="00256FFF"/>
    <w:pPr>
      <w:tabs>
        <w:tab w:val="center" w:pos="4536"/>
        <w:tab w:val="right" w:pos="9072"/>
      </w:tabs>
    </w:pPr>
  </w:style>
  <w:style w:type="paragraph" w:styleId="NormalWeb">
    <w:name w:val="Normal (Web)"/>
    <w:basedOn w:val="Normal"/>
    <w:uiPriority w:val="99"/>
    <w:qFormat/>
    <w:rsid w:val="00990FBE"/>
    <w:pPr>
      <w:spacing w:beforeAutospacing="1" w:afterAutospacing="1"/>
    </w:pPr>
    <w:rPr>
      <w:rFonts w:ascii="Arial" w:hAnsi="Arial" w:cs="Arial"/>
      <w:color w:val="000000"/>
      <w:sz w:val="22"/>
      <w:szCs w:val="22"/>
    </w:rPr>
  </w:style>
  <w:style w:type="paragraph" w:customStyle="1" w:styleId="Rentila">
    <w:name w:val="Rentila"/>
    <w:basedOn w:val="Title"/>
    <w:autoRedefine/>
    <w:qFormat/>
    <w:rsid w:val="00802521"/>
    <w:pPr>
      <w:pBdr>
        <w:left w:val="single" w:sz="18" w:space="4" w:color="70AD47"/>
      </w:pBdr>
      <w:spacing w:before="120" w:after="120"/>
    </w:pPr>
    <w:rPr>
      <w:rFonts w:ascii="Arial" w:eastAsia="Times New Roman" w:hAnsi="Arial" w:cs="Arial"/>
      <w:bCs/>
      <w:spacing w:val="-8"/>
      <w:sz w:val="44"/>
      <w:szCs w:val="26"/>
    </w:rPr>
  </w:style>
  <w:style w:type="paragraph" w:styleId="Title">
    <w:name w:val="Title"/>
    <w:basedOn w:val="Normal"/>
    <w:next w:val="Normal"/>
    <w:link w:val="TitleChar"/>
    <w:qFormat/>
    <w:rsid w:val="00802521"/>
    <w:pPr>
      <w:contextualSpacing/>
    </w:pPr>
    <w:rPr>
      <w:rFonts w:asciiTheme="majorHAnsi" w:eastAsiaTheme="majorEastAsia" w:hAnsiTheme="majorHAnsi" w:cstheme="majorBidi"/>
      <w:spacing w:val="-10"/>
      <w:sz w:val="56"/>
      <w:szCs w:val="56"/>
    </w:rPr>
  </w:style>
  <w:style w:type="paragraph" w:customStyle="1" w:styleId="FrameContents">
    <w:name w:val="Frame Contents"/>
    <w:basedOn w:val="Normal"/>
    <w:qFormat/>
    <w:rsid w:val="00256FFF"/>
  </w:style>
  <w:style w:type="table" w:styleId="TableGrid">
    <w:name w:val="Table Grid"/>
    <w:basedOn w:val="TableNormal"/>
    <w:uiPriority w:val="99"/>
    <w:rsid w:val="00A61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CE7C69"/>
    <w:rPr>
      <w:rFonts w:ascii="Tahoma" w:hAnsi="Tahoma" w:cs="Tahoma"/>
      <w:sz w:val="16"/>
      <w:szCs w:val="16"/>
    </w:rPr>
  </w:style>
  <w:style w:type="character" w:customStyle="1" w:styleId="BalloonTextChar">
    <w:name w:val="Balloon Text Char"/>
    <w:basedOn w:val="DefaultParagraphFont"/>
    <w:link w:val="BalloonText"/>
    <w:semiHidden/>
    <w:rsid w:val="00CE7C69"/>
    <w:rPr>
      <w:rFonts w:ascii="Tahoma" w:hAnsi="Tahoma" w:cs="Tahoma"/>
      <w:sz w:val="16"/>
      <w:szCs w:val="16"/>
      <w:lang w:val="fr-FR" w:eastAsia="fr-FR"/>
    </w:rPr>
  </w:style>
  <w:style w:type="paragraph" w:styleId="ListParagraph">
    <w:name w:val="List Paragraph"/>
    <w:basedOn w:val="Normal"/>
    <w:uiPriority w:val="34"/>
    <w:qFormat/>
    <w:rsid w:val="009407D5"/>
    <w:pPr>
      <w:ind w:left="720"/>
      <w:contextualSpacing/>
    </w:pPr>
  </w:style>
  <w:style w:type="paragraph" w:customStyle="1" w:styleId="Style1">
    <w:name w:val="Style1"/>
    <w:basedOn w:val="Title"/>
    <w:qFormat/>
    <w:rsid w:val="00970E9A"/>
    <w:pPr>
      <w:keepNext/>
      <w:keepLines/>
      <w:numPr>
        <w:numId w:val="8"/>
      </w:numPr>
      <w:overflowPunct w:val="0"/>
      <w:autoSpaceDE w:val="0"/>
      <w:autoSpaceDN w:val="0"/>
      <w:adjustRightInd w:val="0"/>
      <w:spacing w:before="120" w:after="120"/>
      <w:contextualSpacing w:val="0"/>
      <w:jc w:val="both"/>
      <w:textAlignment w:val="baseline"/>
    </w:pPr>
    <w:rPr>
      <w:rFonts w:ascii="Arial" w:eastAsia="Times New Roman" w:hAnsi="Arial" w:cs="Times New Roman"/>
      <w:b/>
      <w:bCs/>
      <w:spacing w:val="0"/>
      <w:sz w:val="22"/>
      <w:szCs w:val="20"/>
      <w:lang w:val="en-GB" w:eastAsia="en-US"/>
    </w:rPr>
  </w:style>
  <w:style w:type="paragraph" w:customStyle="1" w:styleId="Style2">
    <w:name w:val="Style2"/>
    <w:basedOn w:val="Normal"/>
    <w:qFormat/>
    <w:rsid w:val="00970E9A"/>
    <w:pPr>
      <w:widowControl w:val="0"/>
      <w:numPr>
        <w:ilvl w:val="2"/>
        <w:numId w:val="8"/>
      </w:numPr>
      <w:overflowPunct w:val="0"/>
      <w:autoSpaceDE w:val="0"/>
      <w:autoSpaceDN w:val="0"/>
      <w:adjustRightInd w:val="0"/>
      <w:spacing w:after="120"/>
      <w:jc w:val="both"/>
      <w:textAlignment w:val="baseline"/>
    </w:pPr>
    <w:rPr>
      <w:rFonts w:ascii="Arial" w:hAnsi="Arial"/>
      <w:sz w:val="22"/>
      <w:lang w:val="en-GB" w:eastAsia="en-US"/>
    </w:rPr>
  </w:style>
  <w:style w:type="paragraph" w:customStyle="1" w:styleId="Style3a">
    <w:name w:val="Style3a"/>
    <w:basedOn w:val="Style311"/>
    <w:rsid w:val="00970E9A"/>
    <w:pPr>
      <w:numPr>
        <w:ilvl w:val="5"/>
      </w:numPr>
    </w:pPr>
  </w:style>
  <w:style w:type="paragraph" w:customStyle="1" w:styleId="Style311">
    <w:name w:val="Style3.1.1"/>
    <w:basedOn w:val="Normal"/>
    <w:qFormat/>
    <w:rsid w:val="00970E9A"/>
    <w:pPr>
      <w:numPr>
        <w:ilvl w:val="4"/>
        <w:numId w:val="8"/>
      </w:numPr>
      <w:overflowPunct w:val="0"/>
      <w:autoSpaceDE w:val="0"/>
      <w:autoSpaceDN w:val="0"/>
      <w:adjustRightInd w:val="0"/>
      <w:spacing w:after="120"/>
      <w:jc w:val="both"/>
      <w:textAlignment w:val="baseline"/>
    </w:pPr>
    <w:rPr>
      <w:rFonts w:ascii="Arial" w:hAnsi="Arial" w:cs="Arial"/>
      <w:bCs/>
      <w:sz w:val="22"/>
      <w:lang w:val="en-GB" w:eastAsia="en-US"/>
    </w:rPr>
  </w:style>
  <w:style w:type="paragraph" w:customStyle="1" w:styleId="Style2n">
    <w:name w:val="Style2n"/>
    <w:basedOn w:val="BodyTextIndent3"/>
    <w:rsid w:val="00970E9A"/>
    <w:pPr>
      <w:widowControl w:val="0"/>
      <w:overflowPunct w:val="0"/>
      <w:autoSpaceDE w:val="0"/>
      <w:autoSpaceDN w:val="0"/>
      <w:adjustRightInd w:val="0"/>
      <w:ind w:left="709"/>
      <w:jc w:val="both"/>
      <w:textAlignment w:val="baseline"/>
    </w:pPr>
    <w:rPr>
      <w:rFonts w:ascii="Arial" w:hAnsi="Arial"/>
      <w:sz w:val="22"/>
      <w:szCs w:val="20"/>
      <w:lang w:val="en-GB" w:eastAsia="en-US"/>
    </w:rPr>
  </w:style>
  <w:style w:type="paragraph" w:customStyle="1" w:styleId="Style4">
    <w:name w:val="Style4"/>
    <w:basedOn w:val="Normal"/>
    <w:qFormat/>
    <w:rsid w:val="00970E9A"/>
    <w:pPr>
      <w:widowControl w:val="0"/>
      <w:numPr>
        <w:ilvl w:val="6"/>
        <w:numId w:val="8"/>
      </w:numPr>
      <w:overflowPunct w:val="0"/>
      <w:autoSpaceDE w:val="0"/>
      <w:autoSpaceDN w:val="0"/>
      <w:adjustRightInd w:val="0"/>
      <w:spacing w:after="120"/>
      <w:jc w:val="both"/>
      <w:textAlignment w:val="baseline"/>
    </w:pPr>
    <w:rPr>
      <w:rFonts w:ascii="Arial" w:hAnsi="Arial"/>
      <w:sz w:val="22"/>
      <w:lang w:val="en-GB" w:eastAsia="en-US"/>
    </w:rPr>
  </w:style>
  <w:style w:type="paragraph" w:customStyle="1" w:styleId="Style2a">
    <w:name w:val="Style2a"/>
    <w:basedOn w:val="Style2n"/>
    <w:rsid w:val="00970E9A"/>
    <w:pPr>
      <w:numPr>
        <w:ilvl w:val="3"/>
        <w:numId w:val="8"/>
      </w:numPr>
    </w:pPr>
  </w:style>
  <w:style w:type="paragraph" w:customStyle="1" w:styleId="Style1notBold">
    <w:name w:val="Style1notBold"/>
    <w:basedOn w:val="Style1"/>
    <w:rsid w:val="00970E9A"/>
    <w:pPr>
      <w:keepNext w:val="0"/>
      <w:keepLines w:val="0"/>
      <w:widowControl w:val="0"/>
      <w:numPr>
        <w:ilvl w:val="1"/>
      </w:numPr>
    </w:pPr>
    <w:rPr>
      <w:b w:val="0"/>
    </w:rPr>
  </w:style>
  <w:style w:type="paragraph" w:customStyle="1" w:styleId="Style4a">
    <w:name w:val="Style4a"/>
    <w:basedOn w:val="Style3a"/>
    <w:rsid w:val="00970E9A"/>
    <w:pPr>
      <w:numPr>
        <w:ilvl w:val="7"/>
      </w:numPr>
      <w:tabs>
        <w:tab w:val="clear" w:pos="2835"/>
        <w:tab w:val="num" w:pos="2126"/>
      </w:tabs>
      <w:ind w:left="2126" w:hanging="708"/>
    </w:pPr>
  </w:style>
  <w:style w:type="paragraph" w:styleId="BodyTextIndent3">
    <w:name w:val="Body Text Indent 3"/>
    <w:basedOn w:val="Normal"/>
    <w:link w:val="BodyTextIndent3Char"/>
    <w:rsid w:val="00970E9A"/>
    <w:pPr>
      <w:spacing w:after="120"/>
      <w:ind w:left="283"/>
    </w:pPr>
    <w:rPr>
      <w:sz w:val="16"/>
      <w:szCs w:val="16"/>
    </w:rPr>
  </w:style>
  <w:style w:type="character" w:customStyle="1" w:styleId="BodyTextIndent3Char">
    <w:name w:val="Body Text Indent 3 Char"/>
    <w:basedOn w:val="DefaultParagraphFont"/>
    <w:link w:val="BodyTextIndent3"/>
    <w:rsid w:val="00970E9A"/>
    <w:rPr>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3719</Words>
  <Characters>21204</Characters>
  <Application>Microsoft Office Word</Application>
  <DocSecurity>0</DocSecurity>
  <Lines>176</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Tenancy Agreement</vt:lpstr>
      <vt:lpstr>BAIL LOCATION MEUBLEE</vt:lpstr>
    </vt:vector>
  </TitlesOfParts>
  <Company>Rentila</Company>
  <LinksUpToDate>false</LinksUpToDate>
  <CharactersWithSpaces>24874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Assured Periodic Tenancy Agreement</dc:title>
  <dc:creator>Roumen Gueorguiev</dc:creator>
  <cp:lastModifiedBy>Microsoft Office User</cp:lastModifiedBy>
  <cp:revision>6</cp:revision>
  <cp:lastPrinted>2009-10-01T09:50:00Z</cp:lastPrinted>
  <dcterms:created xsi:type="dcterms:W3CDTF">2020-12-18T13:18:00Z</dcterms:created>
  <dcterms:modified xsi:type="dcterms:W3CDTF">2020-12-18T20:58:00Z</dcterms:modified>
  <dc:language>bg-BG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Rentila</vt:lpwstr>
  </property>
  <property fmtid="{D5CDD505-2E9C-101B-9397-08002B2CF9AE}" pid="4" name="DocSecurity">
    <vt:i4>0</vt:i4>
  </property>
  <property fmtid="{D5CDD505-2E9C-101B-9397-08002B2CF9AE}" pid="5" name="HyperlinksChanged">
    <vt:bool>true</vt:bool>
  </property>
  <property fmtid="{D5CDD505-2E9C-101B-9397-08002B2CF9AE}" pid="6" name="LinksUpToDate">
    <vt:bool>true</vt:bool>
  </property>
  <property fmtid="{D5CDD505-2E9C-101B-9397-08002B2CF9AE}" pid="7" name="ScaleCrop">
    <vt:bool>true</vt:bool>
  </property>
  <property fmtid="{D5CDD505-2E9C-101B-9397-08002B2CF9AE}" pid="8" name="ShareDoc">
    <vt:bool>true</vt:bool>
  </property>
</Properties>
</file>